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38D67F" w14:textId="6B4DA653" w:rsidR="00333D4A" w:rsidRPr="00F34AB6" w:rsidRDefault="001011D9" w:rsidP="001E2682">
      <w:pPr>
        <w:pStyle w:val="profile-title"/>
      </w:pPr>
      <w:r w:rsidRPr="001011D9">
        <w:t>International Government Assurance Profile (iGov)</w:t>
      </w:r>
    </w:p>
    <w:p w14:paraId="058977AB" w14:textId="77777777" w:rsidR="00B83B90" w:rsidRDefault="00B83B90">
      <w:pPr>
        <w:rPr>
          <w:rFonts w:ascii="Arial" w:hAnsi="Arial"/>
          <w:sz w:val="20"/>
        </w:rPr>
      </w:pPr>
    </w:p>
    <w:p w14:paraId="570215D2" w14:textId="77777777" w:rsidR="00C3034B" w:rsidRDefault="00C3034B" w:rsidP="00BF3090">
      <w:pPr>
        <w:pStyle w:val="profile-norm"/>
      </w:pPr>
    </w:p>
    <w:p w14:paraId="4B8FB09F" w14:textId="754C8CE8" w:rsidR="00C3034B" w:rsidRDefault="00C3034B" w:rsidP="001E2682">
      <w:pPr>
        <w:pStyle w:val="profile-h1"/>
        <w:numPr>
          <w:ilvl w:val="0"/>
          <w:numId w:val="14"/>
        </w:numPr>
      </w:pPr>
      <w:r>
        <w:t>Types of eID Scheme</w:t>
      </w:r>
    </w:p>
    <w:p w14:paraId="22D1A404" w14:textId="5348EBA8" w:rsidR="00C3034B" w:rsidRDefault="00C3034B" w:rsidP="00BF3090">
      <w:pPr>
        <w:pStyle w:val="profile-norm"/>
      </w:pPr>
      <w:r>
        <w:t>The eID schemes used for access to government systems varies considerably between nations and can be crudely categorised by the origin of eID issuance (e.g. public or private sector), and the model of eID federation</w:t>
      </w:r>
      <w:r w:rsidR="0082182C">
        <w:t xml:space="preserve"> (direct or broker / hub model)</w:t>
      </w:r>
      <w:r>
        <w:t xml:space="preserve">.  </w:t>
      </w:r>
    </w:p>
    <w:p w14:paraId="1566948C" w14:textId="77777777" w:rsidR="00C3034B" w:rsidRDefault="00C3034B" w:rsidP="00BF3090">
      <w:pPr>
        <w:pStyle w:val="profile-norm"/>
      </w:pPr>
    </w:p>
    <w:p w14:paraId="14C686F0" w14:textId="77777777" w:rsidR="007A3443" w:rsidRDefault="00C3034B" w:rsidP="00BF3090">
      <w:pPr>
        <w:pStyle w:val="profile-norm"/>
      </w:pPr>
      <w:r>
        <w:t>Overlaid are the legal requirements for eID largely derived from more general law such as Data Protection / Privacy regulations and acts u</w:t>
      </w:r>
      <w:bookmarkStart w:id="0" w:name="_GoBack"/>
      <w:bookmarkEnd w:id="0"/>
      <w:r>
        <w:t>nder national and / or international law. There are some specific eID laws although the most widespread currently is the eIDAS Regulation applying to all 28 EU Member States.</w:t>
      </w:r>
    </w:p>
    <w:p w14:paraId="2F856ECA" w14:textId="77777777" w:rsidR="0082182C" w:rsidRDefault="0082182C" w:rsidP="00BF3090">
      <w:pPr>
        <w:pStyle w:val="profile-norm"/>
      </w:pPr>
    </w:p>
    <w:p w14:paraId="2CF7FE4C" w14:textId="49DD4996" w:rsidR="0082182C" w:rsidRDefault="0082182C" w:rsidP="00BF3090">
      <w:pPr>
        <w:pStyle w:val="profile-norm"/>
      </w:pPr>
      <w:r>
        <w:t xml:space="preserve">These variances should be reflected in the flexibility of the iGov profile in order to support the widest possible range of government eID solutions. </w:t>
      </w:r>
    </w:p>
    <w:p w14:paraId="6C5D7DCE" w14:textId="77777777" w:rsidR="007A3443" w:rsidRDefault="007A3443" w:rsidP="00BF3090">
      <w:pPr>
        <w:pStyle w:val="profile-norm"/>
      </w:pPr>
    </w:p>
    <w:p w14:paraId="71578B1E" w14:textId="017F7D73" w:rsidR="00C3034B" w:rsidRDefault="00C3034B" w:rsidP="00BF3090">
      <w:pPr>
        <w:pStyle w:val="profile-h1"/>
      </w:pPr>
      <w:r>
        <w:t>Federation models to be considered for iGOV Profile</w:t>
      </w:r>
    </w:p>
    <w:p w14:paraId="5D5D991B" w14:textId="5C7DADE5" w:rsidR="00C3034B" w:rsidRDefault="00C3034B" w:rsidP="007A3443">
      <w:pPr>
        <w:pStyle w:val="profile-h2"/>
      </w:pPr>
      <w:r>
        <w:t>Direct RP / IDP relationship</w:t>
      </w:r>
    </w:p>
    <w:p w14:paraId="5AC87961" w14:textId="69EA0EDC" w:rsidR="007A3443" w:rsidRDefault="0082182C" w:rsidP="00BF3090">
      <w:pPr>
        <w:pStyle w:val="profile-norm"/>
      </w:pPr>
      <w:r>
        <w:t xml:space="preserve">In this model the RP and IDP(s) are known to each other directly and the user is able to select IDP (where multiple choices are available) directly when interacting with the RP service. This is often the case where there are a small number of national eID IDPs and those providers are relatively static. </w:t>
      </w:r>
    </w:p>
    <w:p w14:paraId="2445D442" w14:textId="77777777" w:rsidR="0005311D" w:rsidRDefault="0005311D" w:rsidP="00BF3090">
      <w:pPr>
        <w:pStyle w:val="profile-norm"/>
      </w:pPr>
    </w:p>
    <w:p w14:paraId="358D158E" w14:textId="6258035D" w:rsidR="0005311D" w:rsidRPr="00467156" w:rsidRDefault="0005311D" w:rsidP="0005311D">
      <w:pPr>
        <w:pStyle w:val="profile-norm"/>
      </w:pPr>
      <w:r>
        <w:t xml:space="preserve">This model assumes that the Relying Party and the Identity Provider have a direct relationship and do not require a broker or federation hub to route authentication requests. </w:t>
      </w:r>
    </w:p>
    <w:p w14:paraId="0080A7CB" w14:textId="24D11A8E" w:rsidR="0005311D" w:rsidRDefault="0005311D" w:rsidP="0005311D">
      <w:pPr>
        <w:pStyle w:val="Heading3"/>
      </w:pPr>
      <w:r w:rsidRPr="00B715B4">
        <w:t>Use Cases</w:t>
      </w:r>
    </w:p>
    <w:p w14:paraId="62B1BF35" w14:textId="77777777" w:rsidR="0005311D" w:rsidRDefault="0005311D" w:rsidP="0005311D">
      <w:pPr>
        <w:rPr>
          <w:rFonts w:ascii="Arial" w:hAnsi="Arial"/>
          <w:sz w:val="20"/>
        </w:rPr>
      </w:pPr>
    </w:p>
    <w:tbl>
      <w:tblPr>
        <w:tblStyle w:val="TableGrid"/>
        <w:tblW w:w="0" w:type="auto"/>
        <w:tblLook w:val="04A0" w:firstRow="1" w:lastRow="0" w:firstColumn="1" w:lastColumn="0" w:noHBand="0" w:noVBand="1"/>
      </w:tblPr>
      <w:tblGrid>
        <w:gridCol w:w="3369"/>
        <w:gridCol w:w="5147"/>
      </w:tblGrid>
      <w:tr w:rsidR="0005311D" w:rsidRPr="007A58F7" w14:paraId="1F83751F" w14:textId="77777777" w:rsidTr="00E37CA6">
        <w:tc>
          <w:tcPr>
            <w:tcW w:w="3369" w:type="dxa"/>
          </w:tcPr>
          <w:p w14:paraId="58013164" w14:textId="77777777" w:rsidR="0005311D" w:rsidRPr="007A58F7" w:rsidRDefault="0005311D" w:rsidP="00E37CA6">
            <w:pPr>
              <w:rPr>
                <w:rFonts w:ascii="Arial" w:hAnsi="Arial"/>
                <w:b/>
                <w:sz w:val="20"/>
              </w:rPr>
            </w:pPr>
            <w:r w:rsidRPr="007A58F7">
              <w:rPr>
                <w:rFonts w:ascii="Arial" w:hAnsi="Arial"/>
                <w:b/>
                <w:sz w:val="20"/>
              </w:rPr>
              <w:t>Use Case</w:t>
            </w:r>
          </w:p>
        </w:tc>
        <w:tc>
          <w:tcPr>
            <w:tcW w:w="5147" w:type="dxa"/>
          </w:tcPr>
          <w:p w14:paraId="40D0A62A" w14:textId="77777777" w:rsidR="0005311D" w:rsidRPr="007A58F7" w:rsidRDefault="0005311D" w:rsidP="00E37CA6">
            <w:pPr>
              <w:rPr>
                <w:rFonts w:ascii="Arial" w:hAnsi="Arial"/>
                <w:b/>
                <w:sz w:val="20"/>
              </w:rPr>
            </w:pPr>
            <w:r w:rsidRPr="007A58F7">
              <w:rPr>
                <w:rFonts w:ascii="Arial" w:hAnsi="Arial"/>
                <w:b/>
                <w:sz w:val="20"/>
              </w:rPr>
              <w:t>Description</w:t>
            </w:r>
          </w:p>
        </w:tc>
      </w:tr>
      <w:tr w:rsidR="0005311D" w14:paraId="08517891" w14:textId="77777777" w:rsidTr="00E37CA6">
        <w:tc>
          <w:tcPr>
            <w:tcW w:w="3369" w:type="dxa"/>
          </w:tcPr>
          <w:p w14:paraId="1130F444" w14:textId="77777777" w:rsidR="0005311D" w:rsidRDefault="0005311D" w:rsidP="00E37CA6">
            <w:pPr>
              <w:rPr>
                <w:rFonts w:ascii="Arial" w:hAnsi="Arial"/>
                <w:sz w:val="20"/>
              </w:rPr>
            </w:pPr>
            <w:r>
              <w:rPr>
                <w:rFonts w:ascii="Arial" w:hAnsi="Arial"/>
                <w:sz w:val="20"/>
              </w:rPr>
              <w:t>The user selects an IDP for sign-in at the RP</w:t>
            </w:r>
          </w:p>
        </w:tc>
        <w:tc>
          <w:tcPr>
            <w:tcW w:w="5147" w:type="dxa"/>
          </w:tcPr>
          <w:p w14:paraId="1E178B8E" w14:textId="77777777" w:rsidR="0005311D" w:rsidRDefault="0005311D" w:rsidP="00E37CA6">
            <w:pPr>
              <w:rPr>
                <w:rFonts w:ascii="Arial" w:hAnsi="Arial"/>
                <w:sz w:val="20"/>
              </w:rPr>
            </w:pPr>
            <w:r>
              <w:rPr>
                <w:rFonts w:ascii="Arial" w:hAnsi="Arial"/>
                <w:sz w:val="20"/>
              </w:rPr>
              <w:t xml:space="preserve">The user selects an identity provider as presented by the RP (the method of presentation is implementation specific). The RP must generate an authentication request to sent to the IDP and send this request in accordance with the messaging requirements of the relevant profile. </w:t>
            </w:r>
          </w:p>
        </w:tc>
      </w:tr>
      <w:tr w:rsidR="0005311D" w14:paraId="405AD9DC" w14:textId="77777777" w:rsidTr="00E37CA6">
        <w:tc>
          <w:tcPr>
            <w:tcW w:w="3369" w:type="dxa"/>
          </w:tcPr>
          <w:p w14:paraId="388B0C12" w14:textId="77777777" w:rsidR="0005311D" w:rsidRDefault="0005311D" w:rsidP="00E37CA6">
            <w:pPr>
              <w:rPr>
                <w:rFonts w:ascii="Arial" w:hAnsi="Arial"/>
                <w:sz w:val="20"/>
              </w:rPr>
            </w:pPr>
            <w:r>
              <w:rPr>
                <w:rFonts w:ascii="Arial" w:hAnsi="Arial"/>
                <w:sz w:val="20"/>
              </w:rPr>
              <w:t>RP selects an IDP for sign-in (without user intervention)</w:t>
            </w:r>
          </w:p>
        </w:tc>
        <w:tc>
          <w:tcPr>
            <w:tcW w:w="5147" w:type="dxa"/>
          </w:tcPr>
          <w:p w14:paraId="495AED9F" w14:textId="77777777" w:rsidR="0005311D" w:rsidRDefault="0005311D" w:rsidP="00E37CA6">
            <w:pPr>
              <w:rPr>
                <w:rFonts w:ascii="Arial" w:hAnsi="Arial"/>
                <w:sz w:val="20"/>
              </w:rPr>
            </w:pPr>
            <w:r>
              <w:rPr>
                <w:rFonts w:ascii="Arial" w:hAnsi="Arial"/>
                <w:sz w:val="20"/>
              </w:rPr>
              <w:t xml:space="preserve">This is a special case of “user selects an IDP for sign-in” where the RP has prior knowledge of the requirements for authentication e.g. only a specific identity provider meets the requirements for authentication such as level of assurance. </w:t>
            </w:r>
          </w:p>
        </w:tc>
      </w:tr>
      <w:tr w:rsidR="0005311D" w14:paraId="3D20E850" w14:textId="77777777" w:rsidTr="00E37CA6">
        <w:tc>
          <w:tcPr>
            <w:tcW w:w="3369" w:type="dxa"/>
          </w:tcPr>
          <w:p w14:paraId="78649261" w14:textId="77777777" w:rsidR="0005311D" w:rsidRDefault="0005311D" w:rsidP="00E37CA6">
            <w:pPr>
              <w:rPr>
                <w:rFonts w:ascii="Arial" w:hAnsi="Arial"/>
                <w:sz w:val="20"/>
              </w:rPr>
            </w:pPr>
            <w:r>
              <w:rPr>
                <w:rFonts w:ascii="Arial" w:hAnsi="Arial"/>
                <w:sz w:val="20"/>
              </w:rPr>
              <w:t>The user authenticates at the IDP</w:t>
            </w:r>
          </w:p>
        </w:tc>
        <w:tc>
          <w:tcPr>
            <w:tcW w:w="5147" w:type="dxa"/>
          </w:tcPr>
          <w:p w14:paraId="45507BB0" w14:textId="77777777" w:rsidR="0005311D" w:rsidRDefault="0005311D" w:rsidP="00E37CA6">
            <w:pPr>
              <w:rPr>
                <w:rFonts w:ascii="Arial" w:hAnsi="Arial"/>
                <w:sz w:val="20"/>
              </w:rPr>
            </w:pPr>
            <w:r>
              <w:rPr>
                <w:rFonts w:ascii="Arial" w:hAnsi="Arial"/>
                <w:sz w:val="20"/>
              </w:rPr>
              <w:t xml:space="preserve">The user provides relevant credentials to the IDP to facilitate sign-in (i.e. those issued following a successful registration process with the IDP). </w:t>
            </w:r>
          </w:p>
          <w:p w14:paraId="3BA5F0DF" w14:textId="77777777" w:rsidR="0005311D" w:rsidRDefault="0005311D" w:rsidP="00E37CA6">
            <w:pPr>
              <w:rPr>
                <w:rFonts w:ascii="Arial" w:hAnsi="Arial"/>
                <w:sz w:val="20"/>
              </w:rPr>
            </w:pPr>
          </w:p>
          <w:p w14:paraId="68165DFF" w14:textId="782B4709" w:rsidR="0005311D" w:rsidRDefault="008A2EC6" w:rsidP="00E37CA6">
            <w:pPr>
              <w:rPr>
                <w:rFonts w:ascii="Arial" w:hAnsi="Arial"/>
                <w:sz w:val="20"/>
              </w:rPr>
            </w:pPr>
            <w:r>
              <w:rPr>
                <w:rFonts w:ascii="Arial" w:hAnsi="Arial"/>
                <w:sz w:val="20"/>
              </w:rPr>
              <w:t xml:space="preserve">The IDP must provide a status code describing the nature of any failure to the RP when the authentication is not successful at the IDP. </w:t>
            </w:r>
            <w:r w:rsidR="0005311D">
              <w:rPr>
                <w:rFonts w:ascii="Arial" w:hAnsi="Arial"/>
                <w:sz w:val="20"/>
              </w:rPr>
              <w:t xml:space="preserve">This may be the result of a user cancel action, failure to authenticate, or other error state as described by the scheme rules for the federation. </w:t>
            </w:r>
          </w:p>
        </w:tc>
      </w:tr>
      <w:tr w:rsidR="0005311D" w14:paraId="364CD322" w14:textId="77777777" w:rsidTr="00E37CA6">
        <w:tc>
          <w:tcPr>
            <w:tcW w:w="3369" w:type="dxa"/>
          </w:tcPr>
          <w:p w14:paraId="327D1563" w14:textId="77777777" w:rsidR="0005311D" w:rsidRDefault="0005311D" w:rsidP="00E37CA6">
            <w:pPr>
              <w:rPr>
                <w:rFonts w:ascii="Arial" w:hAnsi="Arial"/>
                <w:sz w:val="20"/>
              </w:rPr>
            </w:pPr>
            <w:r>
              <w:rPr>
                <w:rFonts w:ascii="Arial" w:hAnsi="Arial"/>
                <w:sz w:val="20"/>
              </w:rPr>
              <w:t>The IDP asserts the identity of the user to the RP</w:t>
            </w:r>
          </w:p>
        </w:tc>
        <w:tc>
          <w:tcPr>
            <w:tcW w:w="5147" w:type="dxa"/>
          </w:tcPr>
          <w:p w14:paraId="03AA4605" w14:textId="77777777" w:rsidR="0005311D" w:rsidRDefault="0005311D" w:rsidP="00E37CA6">
            <w:pPr>
              <w:rPr>
                <w:rFonts w:ascii="Arial" w:hAnsi="Arial"/>
                <w:sz w:val="20"/>
              </w:rPr>
            </w:pPr>
            <w:r>
              <w:rPr>
                <w:rFonts w:ascii="Arial" w:hAnsi="Arial"/>
                <w:sz w:val="20"/>
              </w:rPr>
              <w:t xml:space="preserve">The IDP must either assert an ID Token to the RP or an error status as described in the profile. </w:t>
            </w:r>
          </w:p>
        </w:tc>
      </w:tr>
      <w:tr w:rsidR="0005311D" w14:paraId="5076361F" w14:textId="77777777" w:rsidTr="00E37CA6">
        <w:tc>
          <w:tcPr>
            <w:tcW w:w="3369" w:type="dxa"/>
          </w:tcPr>
          <w:p w14:paraId="3C4C845C" w14:textId="77777777" w:rsidR="0005311D" w:rsidRDefault="0005311D" w:rsidP="00E37CA6">
            <w:pPr>
              <w:rPr>
                <w:rFonts w:ascii="Arial" w:hAnsi="Arial"/>
                <w:sz w:val="20"/>
              </w:rPr>
            </w:pPr>
            <w:r>
              <w:rPr>
                <w:rFonts w:ascii="Arial" w:hAnsi="Arial"/>
                <w:sz w:val="20"/>
              </w:rPr>
              <w:t xml:space="preserve">The RP identifies the user by consuming information in the </w:t>
            </w:r>
            <w:r>
              <w:rPr>
                <w:rFonts w:ascii="Arial" w:hAnsi="Arial"/>
                <w:sz w:val="20"/>
              </w:rPr>
              <w:lastRenderedPageBreak/>
              <w:t>identity assertion</w:t>
            </w:r>
          </w:p>
        </w:tc>
        <w:tc>
          <w:tcPr>
            <w:tcW w:w="5147" w:type="dxa"/>
          </w:tcPr>
          <w:p w14:paraId="5E7EA26C" w14:textId="77777777" w:rsidR="0005311D" w:rsidRDefault="0005311D" w:rsidP="00E37CA6">
            <w:pPr>
              <w:rPr>
                <w:rFonts w:ascii="Arial" w:hAnsi="Arial"/>
                <w:sz w:val="20"/>
              </w:rPr>
            </w:pPr>
            <w:r>
              <w:rPr>
                <w:rFonts w:ascii="Arial" w:hAnsi="Arial"/>
                <w:sz w:val="20"/>
              </w:rPr>
              <w:lastRenderedPageBreak/>
              <w:t xml:space="preserve">The RP must be able to consume an ID Token from an IDP and to check the integrity of that token as </w:t>
            </w:r>
            <w:r>
              <w:rPr>
                <w:rFonts w:ascii="Arial" w:hAnsi="Arial"/>
                <w:sz w:val="20"/>
              </w:rPr>
              <w:lastRenderedPageBreak/>
              <w:t xml:space="preserve">prescribed in the profile. </w:t>
            </w:r>
          </w:p>
          <w:p w14:paraId="3B2A03BE" w14:textId="77777777" w:rsidR="0005311D" w:rsidRDefault="0005311D" w:rsidP="00E37CA6">
            <w:pPr>
              <w:rPr>
                <w:rFonts w:ascii="Arial" w:hAnsi="Arial"/>
                <w:sz w:val="20"/>
              </w:rPr>
            </w:pPr>
          </w:p>
          <w:p w14:paraId="55DE6930" w14:textId="77777777" w:rsidR="0005311D" w:rsidRDefault="0005311D" w:rsidP="00E37CA6">
            <w:pPr>
              <w:rPr>
                <w:rFonts w:ascii="Arial" w:hAnsi="Arial"/>
                <w:sz w:val="20"/>
              </w:rPr>
            </w:pPr>
            <w:r>
              <w:rPr>
                <w:rFonts w:ascii="Arial" w:hAnsi="Arial"/>
                <w:sz w:val="20"/>
              </w:rPr>
              <w:t xml:space="preserve">The RP must also retrieve claims for the individual referred to by the ID Token (i.e. from the UserInfo Endpoint). The RP is then responsible for matching the claims in the response to the known ‘accounts’ held within its systems. In the case of a positive match this should result in the identification of a local identifier (relevant to the RP) for the user. </w:t>
            </w:r>
          </w:p>
        </w:tc>
      </w:tr>
    </w:tbl>
    <w:p w14:paraId="62071B60" w14:textId="77777777" w:rsidR="0005311D" w:rsidRDefault="0005311D" w:rsidP="0005311D">
      <w:pPr>
        <w:rPr>
          <w:rFonts w:ascii="Arial" w:hAnsi="Arial"/>
          <w:sz w:val="20"/>
        </w:rPr>
      </w:pPr>
    </w:p>
    <w:p w14:paraId="57E55E98" w14:textId="77777777" w:rsidR="007A3443" w:rsidRDefault="007A3443" w:rsidP="00BF3090">
      <w:pPr>
        <w:pStyle w:val="profile-norm"/>
      </w:pPr>
    </w:p>
    <w:p w14:paraId="59F7E75A" w14:textId="0D0D96C4" w:rsidR="00C3034B" w:rsidRDefault="00C3034B" w:rsidP="007A3443">
      <w:pPr>
        <w:pStyle w:val="profile-h2"/>
      </w:pPr>
      <w:r>
        <w:t>Broker (or hub) model</w:t>
      </w:r>
    </w:p>
    <w:p w14:paraId="245C8957" w14:textId="229B0499" w:rsidR="00C3034B" w:rsidRDefault="00196EA3" w:rsidP="00BF3090">
      <w:pPr>
        <w:pStyle w:val="profile-norm"/>
      </w:pPr>
      <w:r>
        <w:t xml:space="preserve">There are a variety of examples nationally where an identity broker or federation hub has been deployed such as the UK, Sweden and Denmark as well the US (Connect.Gov). It is clear that this model will persist and that other nations are considering the implementation of similar models. </w:t>
      </w:r>
    </w:p>
    <w:p w14:paraId="3AB4F7B5" w14:textId="77777777" w:rsidR="00C3034B" w:rsidRDefault="00C3034B" w:rsidP="00BF3090">
      <w:pPr>
        <w:pStyle w:val="profile-norm"/>
      </w:pPr>
    </w:p>
    <w:p w14:paraId="59243E82" w14:textId="5E7EE1A8" w:rsidR="001E12BE" w:rsidRDefault="001E12BE" w:rsidP="00467156">
      <w:pPr>
        <w:pStyle w:val="profile-norm"/>
      </w:pPr>
      <w:r>
        <w:t xml:space="preserve">In this case a Broker or federation Hub is used to route requests for authentication from Relying Parties to the required Identity Provider. The method used to choose an identity provider is implementation specific and can be user and/or Relying Party driven. </w:t>
      </w:r>
    </w:p>
    <w:p w14:paraId="45A5B465" w14:textId="77777777" w:rsidR="001E12BE" w:rsidRPr="00467156" w:rsidRDefault="001E12BE" w:rsidP="00467156">
      <w:pPr>
        <w:pStyle w:val="profile-norm"/>
      </w:pPr>
    </w:p>
    <w:p w14:paraId="05C09113" w14:textId="04F477EE" w:rsidR="00B83B90" w:rsidRPr="00B715B4" w:rsidRDefault="00B83B90" w:rsidP="0005311D">
      <w:pPr>
        <w:pStyle w:val="Heading3"/>
      </w:pPr>
      <w:r w:rsidRPr="00B715B4">
        <w:t>Use Cases</w:t>
      </w:r>
    </w:p>
    <w:p w14:paraId="478A30FC" w14:textId="77777777" w:rsidR="00B83B90" w:rsidRDefault="00B83B90">
      <w:pPr>
        <w:rPr>
          <w:rFonts w:ascii="Arial" w:hAnsi="Arial"/>
          <w:sz w:val="20"/>
        </w:rPr>
      </w:pPr>
    </w:p>
    <w:tbl>
      <w:tblPr>
        <w:tblStyle w:val="TableGrid"/>
        <w:tblW w:w="0" w:type="auto"/>
        <w:tblLook w:val="04A0" w:firstRow="1" w:lastRow="0" w:firstColumn="1" w:lastColumn="0" w:noHBand="0" w:noVBand="1"/>
      </w:tblPr>
      <w:tblGrid>
        <w:gridCol w:w="3369"/>
        <w:gridCol w:w="5147"/>
      </w:tblGrid>
      <w:tr w:rsidR="00B83B90" w:rsidRPr="007A58F7" w14:paraId="1E440BCA" w14:textId="77777777" w:rsidTr="007A58F7">
        <w:tc>
          <w:tcPr>
            <w:tcW w:w="3369" w:type="dxa"/>
          </w:tcPr>
          <w:p w14:paraId="1B861E66" w14:textId="77777777" w:rsidR="00B83B90" w:rsidRPr="007A58F7" w:rsidRDefault="00B83B90">
            <w:pPr>
              <w:rPr>
                <w:rFonts w:ascii="Arial" w:hAnsi="Arial"/>
                <w:b/>
                <w:sz w:val="20"/>
              </w:rPr>
            </w:pPr>
            <w:r w:rsidRPr="007A58F7">
              <w:rPr>
                <w:rFonts w:ascii="Arial" w:hAnsi="Arial"/>
                <w:b/>
                <w:sz w:val="20"/>
              </w:rPr>
              <w:t>Use Case</w:t>
            </w:r>
          </w:p>
        </w:tc>
        <w:tc>
          <w:tcPr>
            <w:tcW w:w="5147" w:type="dxa"/>
          </w:tcPr>
          <w:p w14:paraId="0348E349" w14:textId="77777777" w:rsidR="00B83B90" w:rsidRPr="007A58F7" w:rsidRDefault="00B83B90">
            <w:pPr>
              <w:rPr>
                <w:rFonts w:ascii="Arial" w:hAnsi="Arial"/>
                <w:b/>
                <w:sz w:val="20"/>
              </w:rPr>
            </w:pPr>
            <w:r w:rsidRPr="007A58F7">
              <w:rPr>
                <w:rFonts w:ascii="Arial" w:hAnsi="Arial"/>
                <w:b/>
                <w:sz w:val="20"/>
              </w:rPr>
              <w:t>Description</w:t>
            </w:r>
          </w:p>
        </w:tc>
      </w:tr>
      <w:tr w:rsidR="00B83B90" w14:paraId="3CB4D9B7" w14:textId="77777777" w:rsidTr="007A58F7">
        <w:tc>
          <w:tcPr>
            <w:tcW w:w="3369" w:type="dxa"/>
          </w:tcPr>
          <w:p w14:paraId="3384F491" w14:textId="2BC95C8C" w:rsidR="00B83B90" w:rsidRDefault="00E37CA6">
            <w:pPr>
              <w:rPr>
                <w:rFonts w:ascii="Arial" w:hAnsi="Arial"/>
                <w:sz w:val="20"/>
              </w:rPr>
            </w:pPr>
            <w:r>
              <w:rPr>
                <w:rFonts w:ascii="Arial" w:hAnsi="Arial"/>
                <w:sz w:val="20"/>
              </w:rPr>
              <w:t>The RP requests authentication from the Broker</w:t>
            </w:r>
          </w:p>
        </w:tc>
        <w:tc>
          <w:tcPr>
            <w:tcW w:w="5147" w:type="dxa"/>
          </w:tcPr>
          <w:p w14:paraId="0EA7214A" w14:textId="20FD98B5" w:rsidR="00B83B90" w:rsidRDefault="008A2EC6" w:rsidP="008A2EC6">
            <w:pPr>
              <w:rPr>
                <w:rFonts w:ascii="Arial" w:hAnsi="Arial"/>
                <w:sz w:val="20"/>
              </w:rPr>
            </w:pPr>
            <w:r>
              <w:rPr>
                <w:rFonts w:ascii="Arial" w:hAnsi="Arial"/>
                <w:sz w:val="20"/>
              </w:rPr>
              <w:t xml:space="preserve">The RP sends an authentication request to the Broker including any specific authentication requirements. </w:t>
            </w:r>
          </w:p>
        </w:tc>
      </w:tr>
      <w:tr w:rsidR="001E12BE" w14:paraId="1B623F83" w14:textId="77777777" w:rsidTr="007A58F7">
        <w:tc>
          <w:tcPr>
            <w:tcW w:w="3369" w:type="dxa"/>
          </w:tcPr>
          <w:p w14:paraId="470B5CC7" w14:textId="6204450A" w:rsidR="001E12BE" w:rsidRDefault="001E12BE">
            <w:pPr>
              <w:rPr>
                <w:rFonts w:ascii="Arial" w:hAnsi="Arial"/>
                <w:sz w:val="20"/>
              </w:rPr>
            </w:pPr>
            <w:r>
              <w:rPr>
                <w:rFonts w:ascii="Arial" w:hAnsi="Arial"/>
                <w:sz w:val="20"/>
              </w:rPr>
              <w:t>The user sel</w:t>
            </w:r>
            <w:r w:rsidR="00E37CA6">
              <w:rPr>
                <w:rFonts w:ascii="Arial" w:hAnsi="Arial"/>
                <w:sz w:val="20"/>
              </w:rPr>
              <w:t>ects an IDP for sign-in at the Broker</w:t>
            </w:r>
          </w:p>
        </w:tc>
        <w:tc>
          <w:tcPr>
            <w:tcW w:w="5147" w:type="dxa"/>
          </w:tcPr>
          <w:p w14:paraId="19F3070D" w14:textId="1CF5667D" w:rsidR="001E12BE" w:rsidRDefault="00A11AE9" w:rsidP="008A2EC6">
            <w:pPr>
              <w:rPr>
                <w:rFonts w:ascii="Arial" w:hAnsi="Arial"/>
                <w:sz w:val="20"/>
              </w:rPr>
            </w:pPr>
            <w:r>
              <w:rPr>
                <w:rFonts w:ascii="Arial" w:hAnsi="Arial"/>
                <w:sz w:val="20"/>
              </w:rPr>
              <w:t xml:space="preserve">The user selects an identity provider as presented by the Broker (the method of presentation is implementation specific). </w:t>
            </w:r>
          </w:p>
        </w:tc>
      </w:tr>
      <w:tr w:rsidR="00A11AE9" w14:paraId="2E697169" w14:textId="77777777" w:rsidTr="007A58F7">
        <w:tc>
          <w:tcPr>
            <w:tcW w:w="3369" w:type="dxa"/>
          </w:tcPr>
          <w:p w14:paraId="0C7872F9" w14:textId="1E309400" w:rsidR="00A11AE9" w:rsidRDefault="00A11AE9">
            <w:pPr>
              <w:rPr>
                <w:rFonts w:ascii="Arial" w:hAnsi="Arial"/>
                <w:sz w:val="20"/>
              </w:rPr>
            </w:pPr>
            <w:r>
              <w:rPr>
                <w:rFonts w:ascii="Arial" w:hAnsi="Arial"/>
                <w:sz w:val="20"/>
              </w:rPr>
              <w:t>The Broker requests authentication from the (chosen) IDP</w:t>
            </w:r>
          </w:p>
        </w:tc>
        <w:tc>
          <w:tcPr>
            <w:tcW w:w="5147" w:type="dxa"/>
          </w:tcPr>
          <w:p w14:paraId="03DF73C8" w14:textId="22AF64BA" w:rsidR="00A11AE9" w:rsidRDefault="008A2EC6">
            <w:pPr>
              <w:rPr>
                <w:rFonts w:ascii="Arial" w:hAnsi="Arial"/>
                <w:sz w:val="20"/>
              </w:rPr>
            </w:pPr>
            <w:r>
              <w:rPr>
                <w:rFonts w:ascii="Arial" w:hAnsi="Arial"/>
                <w:sz w:val="20"/>
              </w:rPr>
              <w:t xml:space="preserve">The Broker must generate an authentication request to send to the IDP and send this request in accordance with the messaging requirements of the relevant profile. This request must mirror any specific requirement of the RP as indicated in the RP authentication request. </w:t>
            </w:r>
          </w:p>
        </w:tc>
      </w:tr>
      <w:tr w:rsidR="00B83B90" w14:paraId="0A51C214" w14:textId="77777777" w:rsidTr="007A58F7">
        <w:tc>
          <w:tcPr>
            <w:tcW w:w="3369" w:type="dxa"/>
          </w:tcPr>
          <w:p w14:paraId="0111266A" w14:textId="77777777" w:rsidR="00B83B90" w:rsidRDefault="00B83B90">
            <w:pPr>
              <w:rPr>
                <w:rFonts w:ascii="Arial" w:hAnsi="Arial"/>
                <w:sz w:val="20"/>
              </w:rPr>
            </w:pPr>
            <w:r>
              <w:rPr>
                <w:rFonts w:ascii="Arial" w:hAnsi="Arial"/>
                <w:sz w:val="20"/>
              </w:rPr>
              <w:t>The user authenticates</w:t>
            </w:r>
            <w:r w:rsidR="007A58F7">
              <w:rPr>
                <w:rFonts w:ascii="Arial" w:hAnsi="Arial"/>
                <w:sz w:val="20"/>
              </w:rPr>
              <w:t xml:space="preserve"> at the IDP</w:t>
            </w:r>
          </w:p>
        </w:tc>
        <w:tc>
          <w:tcPr>
            <w:tcW w:w="5147" w:type="dxa"/>
          </w:tcPr>
          <w:p w14:paraId="1B6DC36D" w14:textId="77777777" w:rsidR="008A2EC6" w:rsidRDefault="008A2EC6" w:rsidP="008A2EC6">
            <w:pPr>
              <w:rPr>
                <w:rFonts w:ascii="Arial" w:hAnsi="Arial"/>
                <w:sz w:val="20"/>
              </w:rPr>
            </w:pPr>
            <w:r>
              <w:rPr>
                <w:rFonts w:ascii="Arial" w:hAnsi="Arial"/>
                <w:sz w:val="20"/>
              </w:rPr>
              <w:t xml:space="preserve">The user provides relevant credentials to the IDP to facilitate sign-in (i.e. those issued following a successful registration process with the IDP). </w:t>
            </w:r>
          </w:p>
          <w:p w14:paraId="5CEEF234" w14:textId="77777777" w:rsidR="008A2EC6" w:rsidRDefault="008A2EC6" w:rsidP="008A2EC6">
            <w:pPr>
              <w:rPr>
                <w:rFonts w:ascii="Arial" w:hAnsi="Arial"/>
                <w:sz w:val="20"/>
              </w:rPr>
            </w:pPr>
          </w:p>
          <w:p w14:paraId="09FB5753" w14:textId="77B3450A" w:rsidR="00A11AE9" w:rsidRDefault="008A2EC6">
            <w:pPr>
              <w:rPr>
                <w:rFonts w:ascii="Arial" w:hAnsi="Arial"/>
                <w:sz w:val="20"/>
              </w:rPr>
            </w:pPr>
            <w:r>
              <w:rPr>
                <w:rFonts w:ascii="Arial" w:hAnsi="Arial"/>
                <w:sz w:val="20"/>
              </w:rPr>
              <w:t xml:space="preserve">The IDP must provide a status code describing the nature of any failure to the RP when the authentication is not successful at the IDP. This may be the result of a user cancel action, failure to authenticate, or other error state as described by the scheme rules for the federation. </w:t>
            </w:r>
          </w:p>
        </w:tc>
      </w:tr>
      <w:tr w:rsidR="00B83B90" w14:paraId="4855A467" w14:textId="77777777" w:rsidTr="007A58F7">
        <w:tc>
          <w:tcPr>
            <w:tcW w:w="3369" w:type="dxa"/>
          </w:tcPr>
          <w:p w14:paraId="7D8F3DB6" w14:textId="020AF70A" w:rsidR="00B83B90" w:rsidRDefault="00B83B90">
            <w:pPr>
              <w:rPr>
                <w:rFonts w:ascii="Arial" w:hAnsi="Arial"/>
                <w:sz w:val="20"/>
              </w:rPr>
            </w:pPr>
            <w:r>
              <w:rPr>
                <w:rFonts w:ascii="Arial" w:hAnsi="Arial"/>
                <w:sz w:val="20"/>
              </w:rPr>
              <w:t xml:space="preserve">The IDP asserts the identity of the user to the </w:t>
            </w:r>
            <w:r w:rsidR="00E37CA6">
              <w:rPr>
                <w:rFonts w:ascii="Arial" w:hAnsi="Arial"/>
                <w:sz w:val="20"/>
              </w:rPr>
              <w:t>Broker</w:t>
            </w:r>
          </w:p>
        </w:tc>
        <w:tc>
          <w:tcPr>
            <w:tcW w:w="5147" w:type="dxa"/>
          </w:tcPr>
          <w:p w14:paraId="7B3F5966" w14:textId="347D5CF4" w:rsidR="00B83B90" w:rsidRDefault="008A2EC6" w:rsidP="008A2EC6">
            <w:pPr>
              <w:rPr>
                <w:rFonts w:ascii="Arial" w:hAnsi="Arial"/>
                <w:sz w:val="20"/>
              </w:rPr>
            </w:pPr>
            <w:r>
              <w:rPr>
                <w:rFonts w:ascii="Arial" w:hAnsi="Arial"/>
                <w:sz w:val="20"/>
              </w:rPr>
              <w:t>The IDP must either assert an ID Token to the Broker or an error status as described in the profile.</w:t>
            </w:r>
          </w:p>
        </w:tc>
      </w:tr>
      <w:tr w:rsidR="00E37CA6" w14:paraId="4769FD28" w14:textId="77777777" w:rsidTr="007A58F7">
        <w:tc>
          <w:tcPr>
            <w:tcW w:w="3369" w:type="dxa"/>
          </w:tcPr>
          <w:p w14:paraId="4DE5A5A2" w14:textId="4821C45E" w:rsidR="00E37CA6" w:rsidRDefault="00E37CA6">
            <w:pPr>
              <w:rPr>
                <w:rFonts w:ascii="Arial" w:hAnsi="Arial"/>
                <w:sz w:val="20"/>
              </w:rPr>
            </w:pPr>
            <w:r>
              <w:rPr>
                <w:rFonts w:ascii="Arial" w:hAnsi="Arial"/>
                <w:sz w:val="20"/>
              </w:rPr>
              <w:t>The Broker relays the assertion of identity to the RP</w:t>
            </w:r>
          </w:p>
        </w:tc>
        <w:tc>
          <w:tcPr>
            <w:tcW w:w="5147" w:type="dxa"/>
          </w:tcPr>
          <w:p w14:paraId="7E1003AD" w14:textId="36819CE1" w:rsidR="00E37CA6" w:rsidRDefault="008A2EC6">
            <w:pPr>
              <w:rPr>
                <w:rFonts w:ascii="Arial" w:hAnsi="Arial"/>
                <w:sz w:val="20"/>
              </w:rPr>
            </w:pPr>
            <w:r>
              <w:rPr>
                <w:rFonts w:ascii="Arial" w:hAnsi="Arial"/>
                <w:sz w:val="20"/>
              </w:rPr>
              <w:t xml:space="preserve">The Broker should relay the IDP assertion (ID Token) to the RP in response to the originating RP authentication request. </w:t>
            </w:r>
          </w:p>
        </w:tc>
      </w:tr>
      <w:tr w:rsidR="00B83B90" w14:paraId="289AFD69" w14:textId="77777777" w:rsidTr="007A58F7">
        <w:tc>
          <w:tcPr>
            <w:tcW w:w="3369" w:type="dxa"/>
          </w:tcPr>
          <w:p w14:paraId="1890D11F" w14:textId="77777777" w:rsidR="00B83B90" w:rsidRDefault="00B83B90">
            <w:pPr>
              <w:rPr>
                <w:rFonts w:ascii="Arial" w:hAnsi="Arial"/>
                <w:sz w:val="20"/>
              </w:rPr>
            </w:pPr>
            <w:r>
              <w:rPr>
                <w:rFonts w:ascii="Arial" w:hAnsi="Arial"/>
                <w:sz w:val="20"/>
              </w:rPr>
              <w:t>The RP identifies the user by consuming information in the identity assertion</w:t>
            </w:r>
          </w:p>
        </w:tc>
        <w:tc>
          <w:tcPr>
            <w:tcW w:w="5147" w:type="dxa"/>
          </w:tcPr>
          <w:p w14:paraId="0907DA0C" w14:textId="77777777" w:rsidR="00A11AE9" w:rsidRDefault="00A11AE9" w:rsidP="00A11AE9">
            <w:pPr>
              <w:rPr>
                <w:rFonts w:ascii="Arial" w:hAnsi="Arial"/>
                <w:sz w:val="20"/>
              </w:rPr>
            </w:pPr>
            <w:r>
              <w:rPr>
                <w:rFonts w:ascii="Arial" w:hAnsi="Arial"/>
                <w:sz w:val="20"/>
              </w:rPr>
              <w:t xml:space="preserve">The RP must be able to consume an ID Token from an IDP and to check the integrity of that token as prescribed in the profile. </w:t>
            </w:r>
          </w:p>
          <w:p w14:paraId="0D44C71E" w14:textId="77777777" w:rsidR="00A11AE9" w:rsidRDefault="00A11AE9" w:rsidP="00A11AE9">
            <w:pPr>
              <w:rPr>
                <w:rFonts w:ascii="Arial" w:hAnsi="Arial"/>
                <w:sz w:val="20"/>
              </w:rPr>
            </w:pPr>
          </w:p>
          <w:p w14:paraId="06B3539A" w14:textId="78ACE248" w:rsidR="00B83B90" w:rsidRDefault="00A11AE9" w:rsidP="00A11AE9">
            <w:pPr>
              <w:rPr>
                <w:rFonts w:ascii="Arial" w:hAnsi="Arial"/>
                <w:sz w:val="20"/>
              </w:rPr>
            </w:pPr>
            <w:r>
              <w:rPr>
                <w:rFonts w:ascii="Arial" w:hAnsi="Arial"/>
                <w:sz w:val="20"/>
              </w:rPr>
              <w:t xml:space="preserve">The RP may also retrieve claims for the individual referred to by the ID Token and / or perform matching (see optional use cases below). </w:t>
            </w:r>
          </w:p>
        </w:tc>
      </w:tr>
    </w:tbl>
    <w:p w14:paraId="5CF85D0A" w14:textId="77777777" w:rsidR="00B83B90" w:rsidRDefault="00B83B90">
      <w:pPr>
        <w:rPr>
          <w:rFonts w:ascii="Arial" w:hAnsi="Arial"/>
          <w:sz w:val="20"/>
        </w:rPr>
      </w:pPr>
    </w:p>
    <w:p w14:paraId="521AEC43" w14:textId="0A42194B" w:rsidR="007A58F7" w:rsidRPr="00E37CA6" w:rsidRDefault="007A58F7" w:rsidP="00E37CA6">
      <w:pPr>
        <w:pStyle w:val="profile-h2"/>
      </w:pPr>
      <w:r>
        <w:t xml:space="preserve">Optional </w:t>
      </w:r>
      <w:r w:rsidR="00E37CA6">
        <w:t xml:space="preserve">(general) </w:t>
      </w:r>
      <w:r>
        <w:t>Use Cases</w:t>
      </w:r>
    </w:p>
    <w:tbl>
      <w:tblPr>
        <w:tblStyle w:val="TableGrid"/>
        <w:tblW w:w="0" w:type="auto"/>
        <w:tblLook w:val="04A0" w:firstRow="1" w:lastRow="0" w:firstColumn="1" w:lastColumn="0" w:noHBand="0" w:noVBand="1"/>
      </w:tblPr>
      <w:tblGrid>
        <w:gridCol w:w="3369"/>
        <w:gridCol w:w="5147"/>
      </w:tblGrid>
      <w:tr w:rsidR="007A58F7" w:rsidRPr="007A58F7" w14:paraId="1AFE2FD6" w14:textId="77777777" w:rsidTr="00B60CF4">
        <w:tc>
          <w:tcPr>
            <w:tcW w:w="3369" w:type="dxa"/>
          </w:tcPr>
          <w:p w14:paraId="6DE6AAAB" w14:textId="77777777" w:rsidR="007A58F7" w:rsidRPr="007A58F7" w:rsidRDefault="007A58F7" w:rsidP="00B60CF4">
            <w:pPr>
              <w:rPr>
                <w:rFonts w:ascii="Arial" w:hAnsi="Arial"/>
                <w:b/>
                <w:sz w:val="20"/>
              </w:rPr>
            </w:pPr>
            <w:r w:rsidRPr="007A58F7">
              <w:rPr>
                <w:rFonts w:ascii="Arial" w:hAnsi="Arial"/>
                <w:b/>
                <w:sz w:val="20"/>
              </w:rPr>
              <w:t>Use Case</w:t>
            </w:r>
          </w:p>
        </w:tc>
        <w:tc>
          <w:tcPr>
            <w:tcW w:w="5147" w:type="dxa"/>
          </w:tcPr>
          <w:p w14:paraId="452E4447" w14:textId="77777777" w:rsidR="007A58F7" w:rsidRPr="007A58F7" w:rsidRDefault="007A58F7" w:rsidP="00B60CF4">
            <w:pPr>
              <w:rPr>
                <w:rFonts w:ascii="Arial" w:hAnsi="Arial"/>
                <w:b/>
                <w:sz w:val="20"/>
              </w:rPr>
            </w:pPr>
            <w:r w:rsidRPr="007A58F7">
              <w:rPr>
                <w:rFonts w:ascii="Arial" w:hAnsi="Arial"/>
                <w:b/>
                <w:sz w:val="20"/>
              </w:rPr>
              <w:t>Description</w:t>
            </w:r>
          </w:p>
        </w:tc>
      </w:tr>
      <w:tr w:rsidR="007A58F7" w14:paraId="25493EE6" w14:textId="77777777" w:rsidTr="00B60CF4">
        <w:tc>
          <w:tcPr>
            <w:tcW w:w="3369" w:type="dxa"/>
          </w:tcPr>
          <w:p w14:paraId="247DE8A1" w14:textId="702B6354" w:rsidR="007A58F7" w:rsidRDefault="00E37CA6" w:rsidP="00B60CF4">
            <w:pPr>
              <w:rPr>
                <w:rFonts w:ascii="Arial" w:hAnsi="Arial"/>
                <w:sz w:val="20"/>
              </w:rPr>
            </w:pPr>
            <w:r>
              <w:rPr>
                <w:rFonts w:ascii="Arial" w:hAnsi="Arial"/>
                <w:sz w:val="20"/>
              </w:rPr>
              <w:t>The RP performs matching to identify a local identifier or account for the user</w:t>
            </w:r>
          </w:p>
        </w:tc>
        <w:tc>
          <w:tcPr>
            <w:tcW w:w="5147" w:type="dxa"/>
          </w:tcPr>
          <w:p w14:paraId="0D5231B2" w14:textId="7D9F4A09" w:rsidR="007A58F7" w:rsidRDefault="00A11AE9" w:rsidP="00B60CF4">
            <w:pPr>
              <w:rPr>
                <w:rFonts w:ascii="Arial" w:hAnsi="Arial"/>
                <w:sz w:val="20"/>
              </w:rPr>
            </w:pPr>
            <w:r>
              <w:rPr>
                <w:rFonts w:ascii="Arial" w:hAnsi="Arial"/>
                <w:sz w:val="20"/>
              </w:rPr>
              <w:t xml:space="preserve">The RP may also retrieve claims for the individual referred to by the ID Token (i.e. from the UserInfo Endpoint). The RP is then responsible for matching the claims in the response to the known ‘accounts’ held within its systems. In the case of a positive match this should result in the identification of a local identifier (relevant to the RP) for the user </w:t>
            </w:r>
            <w:r w:rsidR="00E37CA6">
              <w:rPr>
                <w:rFonts w:ascii="Arial" w:hAnsi="Arial"/>
                <w:sz w:val="20"/>
              </w:rPr>
              <w:t>(see Claims Requirements below).</w:t>
            </w:r>
          </w:p>
        </w:tc>
      </w:tr>
      <w:tr w:rsidR="00E37CA6" w14:paraId="4C2A3249" w14:textId="77777777" w:rsidTr="00B60CF4">
        <w:tc>
          <w:tcPr>
            <w:tcW w:w="3369" w:type="dxa"/>
          </w:tcPr>
          <w:p w14:paraId="7721C290" w14:textId="0FB7F274" w:rsidR="00E37CA6" w:rsidRDefault="00E37CA6" w:rsidP="00B60CF4">
            <w:pPr>
              <w:rPr>
                <w:rFonts w:ascii="Arial" w:hAnsi="Arial"/>
                <w:sz w:val="20"/>
              </w:rPr>
            </w:pPr>
            <w:r>
              <w:rPr>
                <w:rFonts w:ascii="Arial" w:hAnsi="Arial"/>
                <w:sz w:val="20"/>
              </w:rPr>
              <w:t>RP requests additional attributes during authentication request</w:t>
            </w:r>
          </w:p>
        </w:tc>
        <w:tc>
          <w:tcPr>
            <w:tcW w:w="5147" w:type="dxa"/>
          </w:tcPr>
          <w:p w14:paraId="65320D04" w14:textId="020AB76C" w:rsidR="00E37CA6" w:rsidRDefault="00E37CA6" w:rsidP="00B60CF4">
            <w:pPr>
              <w:rPr>
                <w:rFonts w:ascii="Arial" w:hAnsi="Arial"/>
                <w:sz w:val="20"/>
              </w:rPr>
            </w:pPr>
            <w:r>
              <w:rPr>
                <w:rFonts w:ascii="Arial" w:hAnsi="Arial"/>
                <w:sz w:val="20"/>
              </w:rPr>
              <w:t>Support for domain specific attributes (claims) is of great importance to EU member states. An outline of how this could be implemented should be included in the profile.</w:t>
            </w:r>
          </w:p>
        </w:tc>
      </w:tr>
      <w:tr w:rsidR="007A58F7" w14:paraId="2E317D5C" w14:textId="77777777" w:rsidTr="00B60CF4">
        <w:tc>
          <w:tcPr>
            <w:tcW w:w="3369" w:type="dxa"/>
          </w:tcPr>
          <w:p w14:paraId="05FED11B" w14:textId="03A70934" w:rsidR="007A58F7" w:rsidRDefault="00B60CF4" w:rsidP="00B60CF4">
            <w:pPr>
              <w:rPr>
                <w:rFonts w:ascii="Arial" w:hAnsi="Arial"/>
                <w:sz w:val="20"/>
              </w:rPr>
            </w:pPr>
            <w:r>
              <w:rPr>
                <w:rFonts w:ascii="Arial" w:hAnsi="Arial"/>
                <w:sz w:val="20"/>
              </w:rPr>
              <w:t xml:space="preserve">RP specifies a level of assurance when requesting authentication </w:t>
            </w:r>
          </w:p>
        </w:tc>
        <w:tc>
          <w:tcPr>
            <w:tcW w:w="5147" w:type="dxa"/>
          </w:tcPr>
          <w:p w14:paraId="1BA89A3B" w14:textId="46A303D9" w:rsidR="007A58F7" w:rsidRDefault="008A2EC6" w:rsidP="00B60CF4">
            <w:pPr>
              <w:rPr>
                <w:rFonts w:ascii="Arial" w:hAnsi="Arial"/>
                <w:sz w:val="20"/>
              </w:rPr>
            </w:pPr>
            <w:r>
              <w:rPr>
                <w:rFonts w:ascii="Arial" w:hAnsi="Arial"/>
                <w:sz w:val="20"/>
              </w:rPr>
              <w:t xml:space="preserve">The RP specifies requirements for authentication in particular the required level of assurance acceptable for sign-in to the service. </w:t>
            </w:r>
          </w:p>
        </w:tc>
      </w:tr>
      <w:tr w:rsidR="007A58F7" w14:paraId="5A8F955E" w14:textId="77777777" w:rsidTr="00B60CF4">
        <w:tc>
          <w:tcPr>
            <w:tcW w:w="3369" w:type="dxa"/>
          </w:tcPr>
          <w:p w14:paraId="3BA3078A" w14:textId="76D77F55" w:rsidR="007A58F7" w:rsidRDefault="005D1DE6" w:rsidP="00B60CF4">
            <w:pPr>
              <w:rPr>
                <w:rFonts w:ascii="Arial" w:hAnsi="Arial"/>
                <w:sz w:val="20"/>
              </w:rPr>
            </w:pPr>
            <w:r>
              <w:rPr>
                <w:rFonts w:ascii="Arial" w:hAnsi="Arial"/>
                <w:sz w:val="20"/>
              </w:rPr>
              <w:t xml:space="preserve">The IDP asserts transaction monitoring and / or </w:t>
            </w:r>
            <w:r w:rsidR="008A2EC6">
              <w:rPr>
                <w:rFonts w:ascii="Arial" w:hAnsi="Arial"/>
                <w:sz w:val="20"/>
              </w:rPr>
              <w:t xml:space="preserve">additional </w:t>
            </w:r>
            <w:r>
              <w:rPr>
                <w:rFonts w:ascii="Arial" w:hAnsi="Arial"/>
                <w:sz w:val="20"/>
              </w:rPr>
              <w:t>authentication context information alongside identity assertion</w:t>
            </w:r>
          </w:p>
        </w:tc>
        <w:tc>
          <w:tcPr>
            <w:tcW w:w="5147" w:type="dxa"/>
          </w:tcPr>
          <w:p w14:paraId="78652028" w14:textId="1AD1EEE9" w:rsidR="007A58F7" w:rsidRDefault="008A2EC6" w:rsidP="008A2EC6">
            <w:pPr>
              <w:rPr>
                <w:rFonts w:ascii="Arial" w:hAnsi="Arial"/>
                <w:sz w:val="20"/>
              </w:rPr>
            </w:pPr>
            <w:r>
              <w:rPr>
                <w:rFonts w:ascii="Arial" w:hAnsi="Arial"/>
                <w:sz w:val="20"/>
              </w:rPr>
              <w:t xml:space="preserve">Transaction monitoring and authentication context information may be of great importance to protect the RP (service) from attack or alert the RP to potential fraud. </w:t>
            </w:r>
          </w:p>
        </w:tc>
      </w:tr>
    </w:tbl>
    <w:p w14:paraId="78020176" w14:textId="77777777" w:rsidR="007A58F7" w:rsidRDefault="007A58F7">
      <w:pPr>
        <w:rPr>
          <w:rFonts w:ascii="Arial" w:hAnsi="Arial"/>
          <w:sz w:val="20"/>
        </w:rPr>
      </w:pPr>
    </w:p>
    <w:p w14:paraId="7FFEFC7B" w14:textId="77777777" w:rsidR="007A58F7" w:rsidRDefault="007A58F7">
      <w:pPr>
        <w:rPr>
          <w:rFonts w:ascii="Arial" w:hAnsi="Arial"/>
          <w:sz w:val="20"/>
        </w:rPr>
      </w:pPr>
    </w:p>
    <w:p w14:paraId="6F5A3451" w14:textId="497642D9" w:rsidR="00B715B4" w:rsidRDefault="005E0F98" w:rsidP="001D517A">
      <w:pPr>
        <w:pStyle w:val="profile-h1"/>
      </w:pPr>
      <w:r>
        <w:t>Claims Requirements (</w:t>
      </w:r>
      <w:r w:rsidR="00196EA3">
        <w:t>UserInfo</w:t>
      </w:r>
      <w:r>
        <w:t>)</w:t>
      </w:r>
    </w:p>
    <w:p w14:paraId="2C0D1BA4" w14:textId="2734EE65" w:rsidR="001D517A" w:rsidRDefault="005E0F98" w:rsidP="001D517A">
      <w:pPr>
        <w:pStyle w:val="profile-norm"/>
      </w:pPr>
      <w:r>
        <w:t>In the interests of data minimisation balanced with the requirement to successfully identity the indi</w:t>
      </w:r>
      <w:r w:rsidR="00196EA3">
        <w:t xml:space="preserve">vidual signing in to a service claims have been split into mandatory and optional </w:t>
      </w:r>
      <w:r w:rsidR="00582693">
        <w:t>user info (identity)</w:t>
      </w:r>
      <w:r w:rsidR="00196EA3">
        <w:t xml:space="preserve"> claims. It is expected that these claims would be made available via a UserInfo endpoint. </w:t>
      </w:r>
    </w:p>
    <w:p w14:paraId="72418219" w14:textId="77777777" w:rsidR="005E0F98" w:rsidRPr="001D517A" w:rsidRDefault="005E0F98" w:rsidP="001D517A">
      <w:pPr>
        <w:pStyle w:val="profile-norm"/>
      </w:pPr>
    </w:p>
    <w:p w14:paraId="7295F1BF" w14:textId="34AA516A" w:rsidR="00B715B4" w:rsidRDefault="001D517A" w:rsidP="001D517A">
      <w:pPr>
        <w:pStyle w:val="profile-h2"/>
      </w:pPr>
      <w:r>
        <w:t xml:space="preserve">Mandatory </w:t>
      </w:r>
      <w:r w:rsidR="00582693">
        <w:t xml:space="preserve">UserInfo / </w:t>
      </w:r>
      <w:r w:rsidR="005E0F98">
        <w:t xml:space="preserve">Identity </w:t>
      </w:r>
      <w:r>
        <w:t>Claims</w:t>
      </w:r>
    </w:p>
    <w:p w14:paraId="035C9657" w14:textId="77777777" w:rsidR="001D517A" w:rsidRDefault="001D517A">
      <w:pPr>
        <w:rPr>
          <w:rFonts w:ascii="Arial" w:hAnsi="Arial"/>
          <w:sz w:val="20"/>
        </w:rPr>
      </w:pPr>
    </w:p>
    <w:tbl>
      <w:tblPr>
        <w:tblStyle w:val="TableGrid"/>
        <w:tblW w:w="0" w:type="auto"/>
        <w:tblLook w:val="04A0" w:firstRow="1" w:lastRow="0" w:firstColumn="1" w:lastColumn="0" w:noHBand="0" w:noVBand="1"/>
      </w:tblPr>
      <w:tblGrid>
        <w:gridCol w:w="3369"/>
        <w:gridCol w:w="5147"/>
      </w:tblGrid>
      <w:tr w:rsidR="00B715B4" w:rsidRPr="007A58F7" w14:paraId="06FB5B40" w14:textId="77777777" w:rsidTr="00B715B4">
        <w:tc>
          <w:tcPr>
            <w:tcW w:w="3369" w:type="dxa"/>
          </w:tcPr>
          <w:p w14:paraId="67F64191" w14:textId="7AEF28A1" w:rsidR="00B715B4" w:rsidRPr="007A58F7" w:rsidRDefault="00B715B4" w:rsidP="00B715B4">
            <w:pPr>
              <w:rPr>
                <w:rFonts w:ascii="Arial" w:hAnsi="Arial"/>
                <w:b/>
                <w:sz w:val="20"/>
              </w:rPr>
            </w:pPr>
            <w:r>
              <w:rPr>
                <w:rFonts w:ascii="Arial" w:hAnsi="Arial"/>
                <w:b/>
                <w:sz w:val="20"/>
              </w:rPr>
              <w:t>Claim</w:t>
            </w:r>
          </w:p>
        </w:tc>
        <w:tc>
          <w:tcPr>
            <w:tcW w:w="5147" w:type="dxa"/>
          </w:tcPr>
          <w:p w14:paraId="6D3E381B" w14:textId="77777777" w:rsidR="00B715B4" w:rsidRPr="007A58F7" w:rsidRDefault="00B715B4" w:rsidP="00B715B4">
            <w:pPr>
              <w:rPr>
                <w:rFonts w:ascii="Arial" w:hAnsi="Arial"/>
                <w:b/>
                <w:sz w:val="20"/>
              </w:rPr>
            </w:pPr>
            <w:r w:rsidRPr="007A58F7">
              <w:rPr>
                <w:rFonts w:ascii="Arial" w:hAnsi="Arial"/>
                <w:b/>
                <w:sz w:val="20"/>
              </w:rPr>
              <w:t>Description</w:t>
            </w:r>
          </w:p>
        </w:tc>
      </w:tr>
      <w:tr w:rsidR="00B715B4" w14:paraId="4C5DB3DE" w14:textId="77777777" w:rsidTr="00B715B4">
        <w:tc>
          <w:tcPr>
            <w:tcW w:w="3369" w:type="dxa"/>
          </w:tcPr>
          <w:p w14:paraId="73E8480A" w14:textId="4A677E7C" w:rsidR="00B715B4" w:rsidRDefault="00B715B4" w:rsidP="00B715B4">
            <w:pPr>
              <w:rPr>
                <w:rFonts w:ascii="Arial" w:hAnsi="Arial"/>
                <w:sz w:val="20"/>
              </w:rPr>
            </w:pPr>
            <w:r>
              <w:rPr>
                <w:rFonts w:ascii="Arial" w:hAnsi="Arial"/>
                <w:sz w:val="20"/>
              </w:rPr>
              <w:t>unique_identifier</w:t>
            </w:r>
          </w:p>
        </w:tc>
        <w:tc>
          <w:tcPr>
            <w:tcW w:w="5147" w:type="dxa"/>
          </w:tcPr>
          <w:p w14:paraId="3120A4C4" w14:textId="20B951C5" w:rsidR="00B715B4" w:rsidRDefault="002935B5" w:rsidP="002935B5">
            <w:pPr>
              <w:rPr>
                <w:rFonts w:ascii="Arial" w:hAnsi="Arial"/>
                <w:sz w:val="20"/>
              </w:rPr>
            </w:pPr>
            <w:r w:rsidRPr="002935B5">
              <w:rPr>
                <w:rFonts w:ascii="Arial" w:hAnsi="Arial"/>
                <w:sz w:val="20"/>
              </w:rPr>
              <w:t>This uniquely identifies the identity asserted in</w:t>
            </w:r>
            <w:r>
              <w:rPr>
                <w:rFonts w:ascii="Arial" w:hAnsi="Arial"/>
                <w:sz w:val="20"/>
              </w:rPr>
              <w:t xml:space="preserve"> the country of origin but does </w:t>
            </w:r>
            <w:r w:rsidRPr="002935B5">
              <w:rPr>
                <w:rFonts w:ascii="Arial" w:hAnsi="Arial"/>
                <w:sz w:val="20"/>
              </w:rPr>
              <w:t>not necessarily reveal any discernible correspondence with the subject's actual identifier (for example, username, fiscal number etc)</w:t>
            </w:r>
          </w:p>
        </w:tc>
      </w:tr>
      <w:tr w:rsidR="00B715B4" w14:paraId="4C1A90AF" w14:textId="77777777" w:rsidTr="00B715B4">
        <w:tc>
          <w:tcPr>
            <w:tcW w:w="3369" w:type="dxa"/>
          </w:tcPr>
          <w:p w14:paraId="41CA1C1F" w14:textId="1A2E2396" w:rsidR="00B715B4" w:rsidRDefault="00B715B4" w:rsidP="00B715B4">
            <w:pPr>
              <w:rPr>
                <w:rFonts w:ascii="Arial" w:hAnsi="Arial"/>
                <w:sz w:val="20"/>
              </w:rPr>
            </w:pPr>
            <w:r>
              <w:rPr>
                <w:rFonts w:ascii="Arial" w:hAnsi="Arial"/>
                <w:sz w:val="20"/>
              </w:rPr>
              <w:t>given_name</w:t>
            </w:r>
          </w:p>
        </w:tc>
        <w:tc>
          <w:tcPr>
            <w:tcW w:w="5147" w:type="dxa"/>
          </w:tcPr>
          <w:p w14:paraId="01A5AE40" w14:textId="7CBCC560" w:rsidR="00B715B4" w:rsidRDefault="002935B5" w:rsidP="00B715B4">
            <w:pPr>
              <w:rPr>
                <w:rFonts w:ascii="Arial" w:hAnsi="Arial"/>
                <w:sz w:val="20"/>
              </w:rPr>
            </w:pPr>
            <w:r>
              <w:rPr>
                <w:rFonts w:ascii="Arial" w:hAnsi="Arial"/>
                <w:sz w:val="20"/>
              </w:rPr>
              <w:t>The current given name / forename of the individual</w:t>
            </w:r>
          </w:p>
        </w:tc>
      </w:tr>
      <w:tr w:rsidR="00B715B4" w14:paraId="18C796A3" w14:textId="77777777" w:rsidTr="00B715B4">
        <w:tc>
          <w:tcPr>
            <w:tcW w:w="3369" w:type="dxa"/>
          </w:tcPr>
          <w:p w14:paraId="322D75B3" w14:textId="6BEAB543" w:rsidR="00B715B4" w:rsidRDefault="00B715B4" w:rsidP="00B715B4">
            <w:pPr>
              <w:rPr>
                <w:rFonts w:ascii="Arial" w:hAnsi="Arial"/>
                <w:sz w:val="20"/>
              </w:rPr>
            </w:pPr>
            <w:r>
              <w:rPr>
                <w:rFonts w:ascii="Arial" w:hAnsi="Arial"/>
                <w:sz w:val="20"/>
              </w:rPr>
              <w:t>family_name</w:t>
            </w:r>
          </w:p>
        </w:tc>
        <w:tc>
          <w:tcPr>
            <w:tcW w:w="5147" w:type="dxa"/>
          </w:tcPr>
          <w:p w14:paraId="15091717" w14:textId="0B23F00C" w:rsidR="00B715B4" w:rsidRDefault="002935B5" w:rsidP="00B715B4">
            <w:pPr>
              <w:rPr>
                <w:rFonts w:ascii="Arial" w:hAnsi="Arial"/>
                <w:sz w:val="20"/>
              </w:rPr>
            </w:pPr>
            <w:r>
              <w:rPr>
                <w:rFonts w:ascii="Arial" w:hAnsi="Arial"/>
                <w:sz w:val="20"/>
              </w:rPr>
              <w:t>The current family name (surname) of the individual</w:t>
            </w:r>
          </w:p>
        </w:tc>
      </w:tr>
      <w:tr w:rsidR="00B715B4" w14:paraId="1A0752C5" w14:textId="77777777" w:rsidTr="00B715B4">
        <w:tc>
          <w:tcPr>
            <w:tcW w:w="3369" w:type="dxa"/>
          </w:tcPr>
          <w:p w14:paraId="3BEAB76B" w14:textId="403D4ED6" w:rsidR="00B715B4" w:rsidRDefault="00B715B4" w:rsidP="00B715B4">
            <w:pPr>
              <w:rPr>
                <w:rFonts w:ascii="Arial" w:hAnsi="Arial"/>
                <w:sz w:val="20"/>
              </w:rPr>
            </w:pPr>
            <w:r>
              <w:rPr>
                <w:rFonts w:ascii="Arial" w:hAnsi="Arial"/>
                <w:sz w:val="20"/>
              </w:rPr>
              <w:t>middle_name</w:t>
            </w:r>
          </w:p>
        </w:tc>
        <w:tc>
          <w:tcPr>
            <w:tcW w:w="5147" w:type="dxa"/>
          </w:tcPr>
          <w:p w14:paraId="368B534C" w14:textId="70ECE13B" w:rsidR="00B715B4" w:rsidRDefault="002935B5" w:rsidP="00B715B4">
            <w:pPr>
              <w:rPr>
                <w:rFonts w:ascii="Arial" w:hAnsi="Arial"/>
                <w:sz w:val="20"/>
              </w:rPr>
            </w:pPr>
            <w:r>
              <w:rPr>
                <w:rFonts w:ascii="Arial" w:hAnsi="Arial"/>
                <w:sz w:val="20"/>
              </w:rPr>
              <w:t>Any middle name(s) associated with the individual</w:t>
            </w:r>
          </w:p>
        </w:tc>
      </w:tr>
      <w:tr w:rsidR="00B715B4" w14:paraId="40D641C1" w14:textId="77777777" w:rsidTr="00B715B4">
        <w:tc>
          <w:tcPr>
            <w:tcW w:w="3369" w:type="dxa"/>
          </w:tcPr>
          <w:p w14:paraId="11128BE4" w14:textId="76A5583C" w:rsidR="00B715B4" w:rsidRDefault="00B715B4" w:rsidP="00B715B4">
            <w:pPr>
              <w:rPr>
                <w:rFonts w:ascii="Arial" w:hAnsi="Arial"/>
                <w:sz w:val="20"/>
              </w:rPr>
            </w:pPr>
            <w:r>
              <w:rPr>
                <w:rFonts w:ascii="Arial" w:hAnsi="Arial"/>
                <w:sz w:val="20"/>
              </w:rPr>
              <w:t>birthdate</w:t>
            </w:r>
          </w:p>
        </w:tc>
        <w:tc>
          <w:tcPr>
            <w:tcW w:w="5147" w:type="dxa"/>
          </w:tcPr>
          <w:p w14:paraId="0F8D7536" w14:textId="6608F811" w:rsidR="00B715B4" w:rsidRDefault="002935B5" w:rsidP="00B715B4">
            <w:pPr>
              <w:rPr>
                <w:rFonts w:ascii="Arial" w:hAnsi="Arial"/>
                <w:sz w:val="20"/>
              </w:rPr>
            </w:pPr>
            <w:r w:rsidRPr="002935B5">
              <w:rPr>
                <w:rFonts w:ascii="Arial" w:hAnsi="Arial"/>
                <w:sz w:val="20"/>
              </w:rPr>
              <w:t>Date of Birth includes a date using the following format: YYYY + “-“ + MM + “-“ + DD (as defined for xsd:date)</w:t>
            </w:r>
          </w:p>
        </w:tc>
      </w:tr>
    </w:tbl>
    <w:p w14:paraId="1F137F29" w14:textId="77777777" w:rsidR="00B715B4" w:rsidRDefault="00B715B4">
      <w:pPr>
        <w:rPr>
          <w:rFonts w:ascii="Arial" w:hAnsi="Arial"/>
          <w:sz w:val="20"/>
        </w:rPr>
      </w:pPr>
    </w:p>
    <w:p w14:paraId="44077B7C" w14:textId="0502163E" w:rsidR="00B715B4" w:rsidRDefault="001D517A" w:rsidP="00467156">
      <w:pPr>
        <w:pStyle w:val="profile-h2"/>
      </w:pPr>
      <w:r>
        <w:t xml:space="preserve">Optional </w:t>
      </w:r>
      <w:r w:rsidR="00582693">
        <w:t xml:space="preserve">UserInfo / </w:t>
      </w:r>
      <w:r w:rsidR="005E0F98">
        <w:t xml:space="preserve">Identity </w:t>
      </w:r>
      <w:r>
        <w:t>Claims</w:t>
      </w:r>
    </w:p>
    <w:p w14:paraId="6E191F02" w14:textId="77777777" w:rsidR="00B715B4" w:rsidRDefault="00B715B4" w:rsidP="00B715B4">
      <w:pPr>
        <w:rPr>
          <w:rFonts w:ascii="Arial" w:hAnsi="Arial"/>
          <w:sz w:val="20"/>
        </w:rPr>
      </w:pPr>
    </w:p>
    <w:tbl>
      <w:tblPr>
        <w:tblStyle w:val="TableGrid"/>
        <w:tblW w:w="0" w:type="auto"/>
        <w:tblLook w:val="04A0" w:firstRow="1" w:lastRow="0" w:firstColumn="1" w:lastColumn="0" w:noHBand="0" w:noVBand="1"/>
      </w:tblPr>
      <w:tblGrid>
        <w:gridCol w:w="3369"/>
        <w:gridCol w:w="5147"/>
      </w:tblGrid>
      <w:tr w:rsidR="00B715B4" w:rsidRPr="007A58F7" w14:paraId="1398BBF3" w14:textId="77777777" w:rsidTr="00B715B4">
        <w:tc>
          <w:tcPr>
            <w:tcW w:w="3369" w:type="dxa"/>
          </w:tcPr>
          <w:p w14:paraId="54C77D32" w14:textId="77777777" w:rsidR="00B715B4" w:rsidRPr="007A58F7" w:rsidRDefault="00B715B4" w:rsidP="00B715B4">
            <w:pPr>
              <w:rPr>
                <w:rFonts w:ascii="Arial" w:hAnsi="Arial"/>
                <w:b/>
                <w:sz w:val="20"/>
              </w:rPr>
            </w:pPr>
            <w:r>
              <w:rPr>
                <w:rFonts w:ascii="Arial" w:hAnsi="Arial"/>
                <w:b/>
                <w:sz w:val="20"/>
              </w:rPr>
              <w:t>Claim</w:t>
            </w:r>
          </w:p>
        </w:tc>
        <w:tc>
          <w:tcPr>
            <w:tcW w:w="5147" w:type="dxa"/>
          </w:tcPr>
          <w:p w14:paraId="041ACF8B" w14:textId="77777777" w:rsidR="00B715B4" w:rsidRPr="007A58F7" w:rsidRDefault="00B715B4" w:rsidP="00B715B4">
            <w:pPr>
              <w:rPr>
                <w:rFonts w:ascii="Arial" w:hAnsi="Arial"/>
                <w:b/>
                <w:sz w:val="20"/>
              </w:rPr>
            </w:pPr>
            <w:r w:rsidRPr="007A58F7">
              <w:rPr>
                <w:rFonts w:ascii="Arial" w:hAnsi="Arial"/>
                <w:b/>
                <w:sz w:val="20"/>
              </w:rPr>
              <w:t>Description</w:t>
            </w:r>
          </w:p>
        </w:tc>
      </w:tr>
      <w:tr w:rsidR="00B715B4" w14:paraId="7C567D19" w14:textId="77777777" w:rsidTr="00B715B4">
        <w:tc>
          <w:tcPr>
            <w:tcW w:w="3369" w:type="dxa"/>
          </w:tcPr>
          <w:p w14:paraId="656F1272" w14:textId="7FA61B04" w:rsidR="00B715B4" w:rsidRDefault="00B715B4" w:rsidP="00B715B4">
            <w:pPr>
              <w:rPr>
                <w:rFonts w:ascii="Arial" w:hAnsi="Arial"/>
                <w:sz w:val="20"/>
              </w:rPr>
            </w:pPr>
            <w:r>
              <w:rPr>
                <w:rFonts w:ascii="Arial" w:hAnsi="Arial"/>
                <w:sz w:val="20"/>
              </w:rPr>
              <w:t>address</w:t>
            </w:r>
          </w:p>
        </w:tc>
        <w:tc>
          <w:tcPr>
            <w:tcW w:w="5147" w:type="dxa"/>
          </w:tcPr>
          <w:p w14:paraId="71238FF4" w14:textId="48913327" w:rsidR="00B715B4" w:rsidRDefault="002935B5" w:rsidP="00B715B4">
            <w:pPr>
              <w:rPr>
                <w:rFonts w:ascii="Arial" w:hAnsi="Arial"/>
                <w:sz w:val="20"/>
              </w:rPr>
            </w:pPr>
            <w:r>
              <w:rPr>
                <w:rFonts w:ascii="Arial" w:hAnsi="Arial"/>
                <w:sz w:val="20"/>
              </w:rPr>
              <w:t>Free format address data base64 encoded</w:t>
            </w:r>
          </w:p>
        </w:tc>
      </w:tr>
      <w:tr w:rsidR="002935B5" w14:paraId="2D1B4771" w14:textId="77777777" w:rsidTr="00B715B4">
        <w:tc>
          <w:tcPr>
            <w:tcW w:w="3369" w:type="dxa"/>
          </w:tcPr>
          <w:p w14:paraId="58DF93C0" w14:textId="6C9E5BF2" w:rsidR="002935B5" w:rsidRDefault="002935B5" w:rsidP="00B715B4">
            <w:pPr>
              <w:rPr>
                <w:rFonts w:ascii="Arial" w:hAnsi="Arial"/>
                <w:sz w:val="20"/>
              </w:rPr>
            </w:pPr>
            <w:r>
              <w:rPr>
                <w:rFonts w:ascii="Arial" w:hAnsi="Arial"/>
                <w:sz w:val="20"/>
              </w:rPr>
              <w:t>postal_code</w:t>
            </w:r>
          </w:p>
        </w:tc>
        <w:tc>
          <w:tcPr>
            <w:tcW w:w="5147" w:type="dxa"/>
          </w:tcPr>
          <w:p w14:paraId="14341521" w14:textId="2B22F87B" w:rsidR="002935B5" w:rsidRDefault="002935B5" w:rsidP="00B715B4">
            <w:pPr>
              <w:rPr>
                <w:rFonts w:ascii="Arial" w:hAnsi="Arial"/>
                <w:sz w:val="20"/>
              </w:rPr>
            </w:pPr>
            <w:r>
              <w:rPr>
                <w:rFonts w:ascii="Arial" w:hAnsi="Arial"/>
                <w:sz w:val="20"/>
              </w:rPr>
              <w:t>Postal code of the individual’s current address where available</w:t>
            </w:r>
          </w:p>
        </w:tc>
      </w:tr>
      <w:tr w:rsidR="00B715B4" w14:paraId="6B5BA654" w14:textId="77777777" w:rsidTr="00B715B4">
        <w:tc>
          <w:tcPr>
            <w:tcW w:w="3369" w:type="dxa"/>
          </w:tcPr>
          <w:p w14:paraId="1D0A12DB" w14:textId="1C6101EE" w:rsidR="00B715B4" w:rsidRDefault="00B715B4" w:rsidP="00B715B4">
            <w:pPr>
              <w:rPr>
                <w:rFonts w:ascii="Arial" w:hAnsi="Arial"/>
                <w:sz w:val="20"/>
              </w:rPr>
            </w:pPr>
            <w:r>
              <w:rPr>
                <w:rFonts w:ascii="Arial" w:hAnsi="Arial"/>
                <w:sz w:val="20"/>
              </w:rPr>
              <w:t>email</w:t>
            </w:r>
          </w:p>
        </w:tc>
        <w:tc>
          <w:tcPr>
            <w:tcW w:w="5147" w:type="dxa"/>
          </w:tcPr>
          <w:p w14:paraId="26822F41" w14:textId="3FC016DD" w:rsidR="00B715B4" w:rsidRDefault="001E12BE" w:rsidP="00B715B4">
            <w:pPr>
              <w:rPr>
                <w:rFonts w:ascii="Arial" w:hAnsi="Arial"/>
                <w:sz w:val="20"/>
              </w:rPr>
            </w:pPr>
            <w:r>
              <w:rPr>
                <w:rFonts w:ascii="Arial" w:hAnsi="Arial"/>
                <w:sz w:val="20"/>
              </w:rPr>
              <w:t>Current and active email address of the subject</w:t>
            </w:r>
          </w:p>
        </w:tc>
      </w:tr>
      <w:tr w:rsidR="00B715B4" w14:paraId="445BD496" w14:textId="77777777" w:rsidTr="00B715B4">
        <w:tc>
          <w:tcPr>
            <w:tcW w:w="3369" w:type="dxa"/>
          </w:tcPr>
          <w:p w14:paraId="3608DCED" w14:textId="48B09ED8" w:rsidR="00B715B4" w:rsidRDefault="00B715B4" w:rsidP="00B715B4">
            <w:pPr>
              <w:rPr>
                <w:rFonts w:ascii="Arial" w:hAnsi="Arial"/>
                <w:sz w:val="20"/>
              </w:rPr>
            </w:pPr>
            <w:r>
              <w:rPr>
                <w:rFonts w:ascii="Arial" w:hAnsi="Arial"/>
                <w:sz w:val="20"/>
              </w:rPr>
              <w:t>email_verified</w:t>
            </w:r>
          </w:p>
        </w:tc>
        <w:tc>
          <w:tcPr>
            <w:tcW w:w="5147" w:type="dxa"/>
          </w:tcPr>
          <w:p w14:paraId="0D10460B" w14:textId="4739E737" w:rsidR="00B715B4" w:rsidRDefault="001E12BE" w:rsidP="00B715B4">
            <w:pPr>
              <w:rPr>
                <w:rFonts w:ascii="Arial" w:hAnsi="Arial"/>
                <w:sz w:val="20"/>
              </w:rPr>
            </w:pPr>
            <w:r>
              <w:rPr>
                <w:rFonts w:ascii="Arial" w:hAnsi="Arial"/>
                <w:sz w:val="20"/>
              </w:rPr>
              <w:t>Verified email address (see email above)</w:t>
            </w:r>
          </w:p>
        </w:tc>
      </w:tr>
      <w:tr w:rsidR="00B715B4" w14:paraId="35B47C73" w14:textId="77777777" w:rsidTr="00B715B4">
        <w:tc>
          <w:tcPr>
            <w:tcW w:w="3369" w:type="dxa"/>
          </w:tcPr>
          <w:p w14:paraId="11F74800" w14:textId="3ACA8E46" w:rsidR="00B715B4" w:rsidRDefault="00B715B4" w:rsidP="00B715B4">
            <w:pPr>
              <w:rPr>
                <w:rFonts w:ascii="Arial" w:hAnsi="Arial"/>
                <w:sz w:val="20"/>
              </w:rPr>
            </w:pPr>
            <w:r>
              <w:rPr>
                <w:rFonts w:ascii="Arial" w:hAnsi="Arial"/>
                <w:sz w:val="20"/>
              </w:rPr>
              <w:t>gender</w:t>
            </w:r>
          </w:p>
        </w:tc>
        <w:tc>
          <w:tcPr>
            <w:tcW w:w="5147" w:type="dxa"/>
          </w:tcPr>
          <w:p w14:paraId="00ED4DBE" w14:textId="79CEE9A2" w:rsidR="002935B5" w:rsidRPr="002935B5" w:rsidRDefault="002935B5" w:rsidP="002935B5">
            <w:pPr>
              <w:rPr>
                <w:rFonts w:ascii="Arial" w:hAnsi="Arial"/>
                <w:sz w:val="20"/>
              </w:rPr>
            </w:pPr>
            <w:r>
              <w:rPr>
                <w:rFonts w:ascii="Arial" w:hAnsi="Arial"/>
                <w:sz w:val="20"/>
              </w:rPr>
              <w:t xml:space="preserve">Gender of the individual where the identity provider has gained consent. </w:t>
            </w:r>
            <w:r w:rsidRPr="002935B5">
              <w:rPr>
                <w:rFonts w:ascii="Arial" w:hAnsi="Arial"/>
                <w:sz w:val="20"/>
              </w:rPr>
              <w:t>Values for Gender attributes MUST be one of the following:</w:t>
            </w:r>
          </w:p>
          <w:p w14:paraId="2ACC30AA" w14:textId="77777777" w:rsidR="002935B5" w:rsidRPr="002935B5" w:rsidRDefault="002935B5" w:rsidP="002935B5">
            <w:pPr>
              <w:rPr>
                <w:rFonts w:ascii="Arial" w:hAnsi="Arial"/>
                <w:sz w:val="20"/>
              </w:rPr>
            </w:pPr>
            <w:r w:rsidRPr="002935B5">
              <w:rPr>
                <w:rFonts w:ascii="Arial" w:hAnsi="Arial"/>
                <w:sz w:val="20"/>
              </w:rPr>
              <w:t> Male</w:t>
            </w:r>
          </w:p>
          <w:p w14:paraId="7673BDE7" w14:textId="77777777" w:rsidR="002935B5" w:rsidRPr="002935B5" w:rsidRDefault="002935B5" w:rsidP="002935B5">
            <w:pPr>
              <w:rPr>
                <w:rFonts w:ascii="Arial" w:hAnsi="Arial"/>
                <w:sz w:val="20"/>
              </w:rPr>
            </w:pPr>
            <w:r w:rsidRPr="002935B5">
              <w:rPr>
                <w:rFonts w:ascii="Arial" w:hAnsi="Arial"/>
                <w:sz w:val="20"/>
              </w:rPr>
              <w:t> Female</w:t>
            </w:r>
          </w:p>
          <w:p w14:paraId="5691E2BE" w14:textId="51492B95" w:rsidR="00B715B4" w:rsidRDefault="002935B5" w:rsidP="002935B5">
            <w:pPr>
              <w:rPr>
                <w:rFonts w:ascii="Arial" w:hAnsi="Arial"/>
                <w:sz w:val="20"/>
              </w:rPr>
            </w:pPr>
            <w:r w:rsidRPr="002935B5">
              <w:rPr>
                <w:rFonts w:ascii="Arial" w:hAnsi="Arial"/>
                <w:sz w:val="20"/>
              </w:rPr>
              <w:t> Not Specified</w:t>
            </w:r>
          </w:p>
        </w:tc>
      </w:tr>
      <w:tr w:rsidR="00B715B4" w14:paraId="1BE82E18" w14:textId="77777777" w:rsidTr="00B715B4">
        <w:tc>
          <w:tcPr>
            <w:tcW w:w="3369" w:type="dxa"/>
          </w:tcPr>
          <w:p w14:paraId="6817110E" w14:textId="2FD9F761" w:rsidR="00B715B4" w:rsidRDefault="00B715B4" w:rsidP="00B715B4">
            <w:pPr>
              <w:rPr>
                <w:rFonts w:ascii="Arial" w:hAnsi="Arial"/>
                <w:sz w:val="20"/>
              </w:rPr>
            </w:pPr>
            <w:r>
              <w:rPr>
                <w:rFonts w:ascii="Arial" w:hAnsi="Arial"/>
                <w:sz w:val="20"/>
              </w:rPr>
              <w:t>birth_place</w:t>
            </w:r>
          </w:p>
        </w:tc>
        <w:tc>
          <w:tcPr>
            <w:tcW w:w="5147" w:type="dxa"/>
          </w:tcPr>
          <w:p w14:paraId="57F638A6" w14:textId="40CE32B4" w:rsidR="00B715B4" w:rsidRDefault="00E53902" w:rsidP="00B715B4">
            <w:pPr>
              <w:rPr>
                <w:rFonts w:ascii="Arial" w:hAnsi="Arial"/>
                <w:sz w:val="20"/>
              </w:rPr>
            </w:pPr>
            <w:r>
              <w:rPr>
                <w:rFonts w:ascii="Arial" w:hAnsi="Arial"/>
                <w:sz w:val="20"/>
              </w:rPr>
              <w:t xml:space="preserve">Place of birth as recorded on official documentation such as passport or birth certificate. </w:t>
            </w:r>
          </w:p>
        </w:tc>
      </w:tr>
    </w:tbl>
    <w:p w14:paraId="280F6DAF" w14:textId="77777777" w:rsidR="00B715B4" w:rsidRDefault="00B715B4">
      <w:pPr>
        <w:rPr>
          <w:rFonts w:ascii="Arial" w:hAnsi="Arial"/>
          <w:sz w:val="20"/>
        </w:rPr>
      </w:pPr>
    </w:p>
    <w:p w14:paraId="5DD5F21A" w14:textId="77777777" w:rsidR="00196EA3" w:rsidRDefault="00196EA3" w:rsidP="00196EA3">
      <w:pPr>
        <w:pStyle w:val="profile-h2"/>
      </w:pPr>
      <w:r>
        <w:t xml:space="preserve">The need to support identity matching </w:t>
      </w:r>
    </w:p>
    <w:p w14:paraId="73B5B977" w14:textId="77777777" w:rsidR="00196EA3" w:rsidRDefault="00196EA3" w:rsidP="00196EA3">
      <w:pPr>
        <w:pStyle w:val="profile-norm"/>
      </w:pPr>
      <w:r>
        <w:t xml:space="preserve">Matching of the identity assertion based on claims to a local identifier or ‘account’ related to the individual identity at a level of assurance is a requirement where the government in question is not able to provide a single identifier for all citizens based on an authoritive register of citizens. </w:t>
      </w:r>
    </w:p>
    <w:p w14:paraId="1D990B42" w14:textId="77777777" w:rsidR="00196EA3" w:rsidRDefault="00196EA3" w:rsidP="00196EA3">
      <w:pPr>
        <w:pStyle w:val="profile-norm"/>
      </w:pPr>
    </w:p>
    <w:p w14:paraId="1351B4BA" w14:textId="77777777" w:rsidR="00196EA3" w:rsidRDefault="00196EA3" w:rsidP="00196EA3">
      <w:pPr>
        <w:pStyle w:val="profile-norm"/>
      </w:pPr>
      <w:r>
        <w:t xml:space="preserve">The requirement for matching is also of importance where a cross-border or cross-jurisdiction authentication is required and therefore the availability of a single identifier (e.g. social security number) cannot be guaranteed for the individual wishing to authenticate. </w:t>
      </w:r>
    </w:p>
    <w:p w14:paraId="408EFD91" w14:textId="77777777" w:rsidR="00196EA3" w:rsidRDefault="00196EA3" w:rsidP="00196EA3">
      <w:pPr>
        <w:pStyle w:val="profile-norm"/>
      </w:pPr>
    </w:p>
    <w:p w14:paraId="48A26DC8" w14:textId="77777777" w:rsidR="00196EA3" w:rsidRDefault="00196EA3" w:rsidP="00196EA3">
      <w:pPr>
        <w:pStyle w:val="profile-norm"/>
      </w:pPr>
      <w:r>
        <w:t xml:space="preserve">In general, matching an asserted set of claims for an identity to relying party held records for know individuals requires a minimum set of data elements to be provided. Research in the UK and across the EU under the eIDAS Regulation has identified the minimum set of citizen attributes required to affect a successful match. Due to regional and national law this set of attribute may vary although the key elements are: name, date of birth, current address (including postal code), gender (were consent given). </w:t>
      </w:r>
    </w:p>
    <w:p w14:paraId="0D726D98" w14:textId="77777777" w:rsidR="00E37CA6" w:rsidRDefault="00E37CA6" w:rsidP="00196EA3">
      <w:pPr>
        <w:pStyle w:val="profile-norm"/>
      </w:pPr>
    </w:p>
    <w:p w14:paraId="79E323E0" w14:textId="65E0C62A" w:rsidR="00E37CA6" w:rsidRDefault="00E37CA6" w:rsidP="00E37CA6">
      <w:pPr>
        <w:pStyle w:val="profile-h1"/>
      </w:pPr>
      <w:r>
        <w:t>Levels of Assurance</w:t>
      </w:r>
    </w:p>
    <w:p w14:paraId="6B4B6A52" w14:textId="4559F813" w:rsidR="00E37CA6" w:rsidRDefault="00E37CA6" w:rsidP="00196EA3">
      <w:pPr>
        <w:pStyle w:val="profile-norm"/>
      </w:pPr>
      <w:r>
        <w:t xml:space="preserve">Identity Providers must include an Authentication Context describing the level of assurance achieved for the asserted identity. These values will be described as URIs in the same format as the SAML Authentication Context Class Reference construct. </w:t>
      </w:r>
    </w:p>
    <w:p w14:paraId="0DD48602" w14:textId="77777777" w:rsidR="00E37CA6" w:rsidRDefault="00E37CA6" w:rsidP="00196EA3">
      <w:pPr>
        <w:pStyle w:val="profile-norm"/>
      </w:pPr>
    </w:p>
    <w:p w14:paraId="195F5527" w14:textId="09A421EE" w:rsidR="00E37CA6" w:rsidRDefault="00E37CA6" w:rsidP="00196EA3">
      <w:pPr>
        <w:pStyle w:val="profile-norm"/>
      </w:pPr>
      <w:r>
        <w:t xml:space="preserve">It is recommended that both FICAM and eIDAS levels of assurance are supported in the authentication context by default. </w:t>
      </w:r>
    </w:p>
    <w:p w14:paraId="0001C94A" w14:textId="77777777" w:rsidR="009427BC" w:rsidRDefault="009427BC" w:rsidP="00196EA3">
      <w:pPr>
        <w:pStyle w:val="profile-norm"/>
      </w:pPr>
    </w:p>
    <w:p w14:paraId="5F93C4DE" w14:textId="42F46033" w:rsidR="009427BC" w:rsidRDefault="009427BC" w:rsidP="00196EA3">
      <w:pPr>
        <w:pStyle w:val="profile-norm"/>
      </w:pPr>
      <w:r>
        <w:t>Current NIST Levels of Assurance:</w:t>
      </w:r>
    </w:p>
    <w:p w14:paraId="15D78F60" w14:textId="77777777" w:rsidR="00E37CA6" w:rsidRDefault="00E37CA6" w:rsidP="00196EA3">
      <w:pPr>
        <w:pStyle w:val="profile-norm"/>
      </w:pPr>
    </w:p>
    <w:tbl>
      <w:tblPr>
        <w:tblStyle w:val="TableGrid"/>
        <w:tblW w:w="0" w:type="auto"/>
        <w:tblLook w:val="04A0" w:firstRow="1" w:lastRow="0" w:firstColumn="1" w:lastColumn="0" w:noHBand="0" w:noVBand="1"/>
      </w:tblPr>
      <w:tblGrid>
        <w:gridCol w:w="4153"/>
      </w:tblGrid>
      <w:tr w:rsidR="009427BC" w:rsidRPr="009427BC" w14:paraId="51B61DA2" w14:textId="77777777" w:rsidTr="009427BC">
        <w:tc>
          <w:tcPr>
            <w:tcW w:w="4153" w:type="dxa"/>
          </w:tcPr>
          <w:p w14:paraId="56332E0D" w14:textId="168C3E71" w:rsidR="009427BC" w:rsidRPr="009427BC" w:rsidRDefault="009427BC" w:rsidP="00196EA3">
            <w:pPr>
              <w:pStyle w:val="profile-norm"/>
              <w:rPr>
                <w:b/>
              </w:rPr>
            </w:pPr>
            <w:r w:rsidRPr="009427BC">
              <w:rPr>
                <w:b/>
              </w:rPr>
              <w:t>NIST LoA</w:t>
            </w:r>
          </w:p>
        </w:tc>
      </w:tr>
      <w:tr w:rsidR="009427BC" w14:paraId="632F57BE" w14:textId="77777777" w:rsidTr="009427BC">
        <w:tc>
          <w:tcPr>
            <w:tcW w:w="4153" w:type="dxa"/>
          </w:tcPr>
          <w:p w14:paraId="529B9E3A" w14:textId="2D397804" w:rsidR="009427BC" w:rsidRDefault="002D3613" w:rsidP="00196EA3">
            <w:pPr>
              <w:pStyle w:val="profile-norm"/>
            </w:pPr>
            <w:hyperlink r:id="rId9" w:history="1">
              <w:r w:rsidR="009427BC" w:rsidRPr="00042311">
                <w:rPr>
                  <w:rStyle w:val="Hyperlink"/>
                </w:rPr>
                <w:t>http://idmanagement.gov/ns/assurance/loa/1</w:t>
              </w:r>
            </w:hyperlink>
            <w:r w:rsidR="009427BC">
              <w:t xml:space="preserve"> </w:t>
            </w:r>
          </w:p>
        </w:tc>
      </w:tr>
      <w:tr w:rsidR="009427BC" w14:paraId="7ADF1383" w14:textId="77777777" w:rsidTr="009427BC">
        <w:tc>
          <w:tcPr>
            <w:tcW w:w="4153" w:type="dxa"/>
          </w:tcPr>
          <w:p w14:paraId="2A460D2F" w14:textId="3C317EAF" w:rsidR="009427BC" w:rsidRDefault="002D3613" w:rsidP="00196EA3">
            <w:pPr>
              <w:pStyle w:val="profile-norm"/>
            </w:pPr>
            <w:hyperlink r:id="rId10" w:history="1">
              <w:r w:rsidR="009427BC" w:rsidRPr="00042311">
                <w:rPr>
                  <w:rStyle w:val="Hyperlink"/>
                </w:rPr>
                <w:t>http://idmanagement.gov/ns/assurance/loa/2</w:t>
              </w:r>
            </w:hyperlink>
          </w:p>
        </w:tc>
      </w:tr>
      <w:tr w:rsidR="009427BC" w14:paraId="4F06B686" w14:textId="77777777" w:rsidTr="009427BC">
        <w:tc>
          <w:tcPr>
            <w:tcW w:w="4153" w:type="dxa"/>
          </w:tcPr>
          <w:p w14:paraId="5AFC753C" w14:textId="75CA792D" w:rsidR="009427BC" w:rsidRDefault="002D3613" w:rsidP="00196EA3">
            <w:pPr>
              <w:pStyle w:val="profile-norm"/>
            </w:pPr>
            <w:hyperlink r:id="rId11" w:history="1">
              <w:r w:rsidR="009427BC" w:rsidRPr="00042311">
                <w:rPr>
                  <w:rStyle w:val="Hyperlink"/>
                </w:rPr>
                <w:t>http://idmanagement.gov/ns/assurance/loa/3</w:t>
              </w:r>
            </w:hyperlink>
          </w:p>
        </w:tc>
      </w:tr>
    </w:tbl>
    <w:p w14:paraId="0E2384D2" w14:textId="77777777" w:rsidR="00E37CA6" w:rsidRDefault="00E37CA6" w:rsidP="00196EA3">
      <w:pPr>
        <w:pStyle w:val="profile-norm"/>
      </w:pPr>
    </w:p>
    <w:p w14:paraId="5C44931D" w14:textId="6ADB5AEB" w:rsidR="00E37CA6" w:rsidRDefault="009427BC" w:rsidP="00196EA3">
      <w:pPr>
        <w:pStyle w:val="profile-norm"/>
      </w:pPr>
      <w:r>
        <w:t>Current eIDAS Levels of Assurance:</w:t>
      </w:r>
    </w:p>
    <w:p w14:paraId="1B3C1416" w14:textId="77777777" w:rsidR="009427BC" w:rsidRDefault="009427BC" w:rsidP="00196EA3">
      <w:pPr>
        <w:pStyle w:val="profile-norm"/>
      </w:pPr>
    </w:p>
    <w:tbl>
      <w:tblPr>
        <w:tblStyle w:val="TableGrid"/>
        <w:tblW w:w="0" w:type="auto"/>
        <w:tblLook w:val="04A0" w:firstRow="1" w:lastRow="0" w:firstColumn="1" w:lastColumn="0" w:noHBand="0" w:noVBand="1"/>
      </w:tblPr>
      <w:tblGrid>
        <w:gridCol w:w="4253"/>
      </w:tblGrid>
      <w:tr w:rsidR="009427BC" w:rsidRPr="009427BC" w14:paraId="09221DC0" w14:textId="77777777" w:rsidTr="00A11AE9">
        <w:tc>
          <w:tcPr>
            <w:tcW w:w="4253" w:type="dxa"/>
          </w:tcPr>
          <w:p w14:paraId="4F519DDE" w14:textId="77777777" w:rsidR="009427BC" w:rsidRPr="009427BC" w:rsidRDefault="009427BC" w:rsidP="00A11AE9">
            <w:pPr>
              <w:pStyle w:val="profile-norm"/>
              <w:rPr>
                <w:b/>
              </w:rPr>
            </w:pPr>
            <w:r w:rsidRPr="009427BC">
              <w:rPr>
                <w:b/>
              </w:rPr>
              <w:t>eIDAS LoA</w:t>
            </w:r>
          </w:p>
        </w:tc>
      </w:tr>
      <w:tr w:rsidR="009427BC" w14:paraId="6DF7EEC1" w14:textId="77777777" w:rsidTr="00A11AE9">
        <w:tc>
          <w:tcPr>
            <w:tcW w:w="4253" w:type="dxa"/>
          </w:tcPr>
          <w:p w14:paraId="204E113C" w14:textId="77777777" w:rsidR="009427BC" w:rsidRDefault="002D3613" w:rsidP="00A11AE9">
            <w:pPr>
              <w:pStyle w:val="profile-norm"/>
            </w:pPr>
            <w:hyperlink r:id="rId12" w:history="1">
              <w:r w:rsidR="009427BC" w:rsidRPr="00042311">
                <w:rPr>
                  <w:rStyle w:val="Hyperlink"/>
                </w:rPr>
                <w:t>http://eidas.europa.eu/LoA/low</w:t>
              </w:r>
            </w:hyperlink>
            <w:r w:rsidR="009427BC">
              <w:t xml:space="preserve"> </w:t>
            </w:r>
          </w:p>
        </w:tc>
      </w:tr>
      <w:tr w:rsidR="009427BC" w14:paraId="72F7EF51" w14:textId="77777777" w:rsidTr="00A11AE9">
        <w:tc>
          <w:tcPr>
            <w:tcW w:w="4253" w:type="dxa"/>
          </w:tcPr>
          <w:p w14:paraId="2548BFEF" w14:textId="77777777" w:rsidR="009427BC" w:rsidRDefault="002D3613" w:rsidP="00A11AE9">
            <w:pPr>
              <w:pStyle w:val="profile-norm"/>
            </w:pPr>
            <w:hyperlink r:id="rId13" w:history="1">
              <w:r w:rsidR="009427BC" w:rsidRPr="00042311">
                <w:rPr>
                  <w:rStyle w:val="Hyperlink"/>
                </w:rPr>
                <w:t>http://eidas.europa.eu/LoA/substantial</w:t>
              </w:r>
            </w:hyperlink>
            <w:r w:rsidR="009427BC">
              <w:t xml:space="preserve"> </w:t>
            </w:r>
          </w:p>
        </w:tc>
      </w:tr>
      <w:tr w:rsidR="009427BC" w14:paraId="63184DAB" w14:textId="77777777" w:rsidTr="00A11AE9">
        <w:tc>
          <w:tcPr>
            <w:tcW w:w="4253" w:type="dxa"/>
          </w:tcPr>
          <w:p w14:paraId="4B1E43B5" w14:textId="77777777" w:rsidR="009427BC" w:rsidRDefault="002D3613" w:rsidP="00A11AE9">
            <w:pPr>
              <w:pStyle w:val="profile-norm"/>
            </w:pPr>
            <w:hyperlink r:id="rId14" w:history="1">
              <w:r w:rsidR="009427BC" w:rsidRPr="00042311">
                <w:rPr>
                  <w:rStyle w:val="Hyperlink"/>
                </w:rPr>
                <w:t>http://eidas.europa.eu/LoA/high</w:t>
              </w:r>
            </w:hyperlink>
            <w:r w:rsidR="009427BC">
              <w:t xml:space="preserve"> </w:t>
            </w:r>
          </w:p>
        </w:tc>
      </w:tr>
    </w:tbl>
    <w:p w14:paraId="341B6D47" w14:textId="77777777" w:rsidR="009427BC" w:rsidRDefault="009427BC" w:rsidP="00196EA3">
      <w:pPr>
        <w:pStyle w:val="profile-norm"/>
      </w:pPr>
    </w:p>
    <w:p w14:paraId="473E5F4E" w14:textId="697BBAEA" w:rsidR="005E0F98" w:rsidRDefault="00E37CA6" w:rsidP="00E37CA6">
      <w:pPr>
        <w:pStyle w:val="profile-norm"/>
      </w:pPr>
      <w:r>
        <w:t xml:space="preserve">There is no requirement for authentication methods to be described in the Authentication Context as standards for levels of assurance should be outcome based. This also removes the requirement for RPs and IDPs to have a shared understanding of the authentication method values. </w:t>
      </w:r>
    </w:p>
    <w:p w14:paraId="72EFAA03" w14:textId="77777777" w:rsidR="00B715B4" w:rsidRDefault="00B715B4">
      <w:pPr>
        <w:rPr>
          <w:rFonts w:ascii="Arial" w:hAnsi="Arial"/>
          <w:sz w:val="20"/>
        </w:rPr>
      </w:pPr>
    </w:p>
    <w:p w14:paraId="633927B1" w14:textId="146B7F72" w:rsidR="00B83B90" w:rsidRPr="005E0F98" w:rsidRDefault="007A58F7" w:rsidP="005E0F98">
      <w:pPr>
        <w:pStyle w:val="profile-h1"/>
      </w:pPr>
      <w:r>
        <w:t>Technical</w:t>
      </w:r>
      <w:r w:rsidR="00B83B90">
        <w:t xml:space="preserve"> Requirements</w:t>
      </w:r>
    </w:p>
    <w:p w14:paraId="22B4A79D" w14:textId="6FFD0464" w:rsidR="00B83B90" w:rsidRDefault="005E0F98">
      <w:pPr>
        <w:rPr>
          <w:rFonts w:ascii="Arial" w:hAnsi="Arial"/>
          <w:sz w:val="20"/>
        </w:rPr>
      </w:pPr>
      <w:r>
        <w:rPr>
          <w:rFonts w:ascii="Arial" w:hAnsi="Arial"/>
          <w:sz w:val="20"/>
        </w:rPr>
        <w:t xml:space="preserve">Technical considerations for the messaging flow to protect the consuming services and individual users from attack. </w:t>
      </w:r>
    </w:p>
    <w:p w14:paraId="078F049C" w14:textId="77777777" w:rsidR="00B83B90" w:rsidRDefault="00B83B90">
      <w:pPr>
        <w:rPr>
          <w:rFonts w:ascii="Arial" w:hAnsi="Arial"/>
          <w:sz w:val="20"/>
        </w:rPr>
      </w:pPr>
    </w:p>
    <w:tbl>
      <w:tblPr>
        <w:tblStyle w:val="TableGrid"/>
        <w:tblW w:w="0" w:type="auto"/>
        <w:tblLook w:val="04A0" w:firstRow="1" w:lastRow="0" w:firstColumn="1" w:lastColumn="0" w:noHBand="0" w:noVBand="1"/>
      </w:tblPr>
      <w:tblGrid>
        <w:gridCol w:w="3369"/>
        <w:gridCol w:w="5147"/>
      </w:tblGrid>
      <w:tr w:rsidR="007A58F7" w:rsidRPr="007A58F7" w14:paraId="46F5134F" w14:textId="77777777" w:rsidTr="007A58F7">
        <w:tc>
          <w:tcPr>
            <w:tcW w:w="3369" w:type="dxa"/>
          </w:tcPr>
          <w:p w14:paraId="14B08E98" w14:textId="77777777" w:rsidR="007A58F7" w:rsidRPr="007A58F7" w:rsidRDefault="007A58F7">
            <w:pPr>
              <w:rPr>
                <w:rFonts w:ascii="Arial" w:hAnsi="Arial"/>
                <w:b/>
                <w:sz w:val="20"/>
              </w:rPr>
            </w:pPr>
            <w:r w:rsidRPr="007A58F7">
              <w:rPr>
                <w:rFonts w:ascii="Arial" w:hAnsi="Arial"/>
                <w:b/>
                <w:sz w:val="20"/>
              </w:rPr>
              <w:t>Requirement</w:t>
            </w:r>
          </w:p>
        </w:tc>
        <w:tc>
          <w:tcPr>
            <w:tcW w:w="5147" w:type="dxa"/>
          </w:tcPr>
          <w:p w14:paraId="545B205B" w14:textId="77777777" w:rsidR="007A58F7" w:rsidRPr="007A58F7" w:rsidRDefault="007A58F7">
            <w:pPr>
              <w:rPr>
                <w:rFonts w:ascii="Arial" w:hAnsi="Arial"/>
                <w:b/>
                <w:sz w:val="20"/>
              </w:rPr>
            </w:pPr>
            <w:r w:rsidRPr="007A58F7">
              <w:rPr>
                <w:rFonts w:ascii="Arial" w:hAnsi="Arial"/>
                <w:b/>
                <w:sz w:val="20"/>
              </w:rPr>
              <w:t>Description</w:t>
            </w:r>
          </w:p>
        </w:tc>
      </w:tr>
      <w:tr w:rsidR="007A58F7" w14:paraId="2AF46224" w14:textId="77777777" w:rsidTr="007A58F7">
        <w:tc>
          <w:tcPr>
            <w:tcW w:w="3369" w:type="dxa"/>
          </w:tcPr>
          <w:p w14:paraId="42F285C8" w14:textId="77777777" w:rsidR="007A58F7" w:rsidRDefault="007A58F7">
            <w:pPr>
              <w:rPr>
                <w:rFonts w:ascii="Arial" w:hAnsi="Arial"/>
                <w:sz w:val="20"/>
              </w:rPr>
            </w:pPr>
            <w:r>
              <w:rPr>
                <w:rFonts w:ascii="Arial" w:hAnsi="Arial"/>
                <w:sz w:val="20"/>
              </w:rPr>
              <w:t>Message Integrity</w:t>
            </w:r>
          </w:p>
        </w:tc>
        <w:tc>
          <w:tcPr>
            <w:tcW w:w="5147" w:type="dxa"/>
          </w:tcPr>
          <w:p w14:paraId="6D031974" w14:textId="33544F95" w:rsidR="007A58F7" w:rsidRDefault="005E0F98" w:rsidP="005E0F98">
            <w:pPr>
              <w:rPr>
                <w:rFonts w:ascii="Arial" w:hAnsi="Arial"/>
                <w:sz w:val="20"/>
              </w:rPr>
            </w:pPr>
            <w:r>
              <w:rPr>
                <w:rFonts w:ascii="Arial" w:hAnsi="Arial"/>
                <w:sz w:val="20"/>
              </w:rPr>
              <w:t xml:space="preserve">Method of proving the integrity of a message often accomplished through the addition of a digital signature to the response message or a specific element of the payload such as claims. </w:t>
            </w:r>
          </w:p>
        </w:tc>
      </w:tr>
      <w:tr w:rsidR="007A58F7" w14:paraId="025BA717" w14:textId="77777777" w:rsidTr="007A58F7">
        <w:tc>
          <w:tcPr>
            <w:tcW w:w="3369" w:type="dxa"/>
          </w:tcPr>
          <w:p w14:paraId="7C65C13D" w14:textId="77777777" w:rsidR="007A58F7" w:rsidRDefault="007A58F7">
            <w:pPr>
              <w:rPr>
                <w:rFonts w:ascii="Arial" w:hAnsi="Arial"/>
                <w:sz w:val="20"/>
              </w:rPr>
            </w:pPr>
            <w:r>
              <w:rPr>
                <w:rFonts w:ascii="Arial" w:hAnsi="Arial"/>
                <w:sz w:val="20"/>
              </w:rPr>
              <w:t>Message Confidentiality</w:t>
            </w:r>
          </w:p>
        </w:tc>
        <w:tc>
          <w:tcPr>
            <w:tcW w:w="5147" w:type="dxa"/>
          </w:tcPr>
          <w:p w14:paraId="66B329E8" w14:textId="7A38B252" w:rsidR="007A58F7" w:rsidRDefault="005E0F98" w:rsidP="005E0F98">
            <w:pPr>
              <w:rPr>
                <w:rFonts w:ascii="Arial" w:hAnsi="Arial"/>
                <w:sz w:val="20"/>
              </w:rPr>
            </w:pPr>
            <w:r>
              <w:rPr>
                <w:rFonts w:ascii="Arial" w:hAnsi="Arial"/>
                <w:sz w:val="20"/>
              </w:rPr>
              <w:t xml:space="preserve">Method of preventing the interception and reading of messages in transit either at the user agent (e.g. browser) or in transit between trusted ‘nodes’ in the federation such as RP, SP and Broker (Hub).   </w:t>
            </w:r>
          </w:p>
        </w:tc>
      </w:tr>
      <w:tr w:rsidR="007A58F7" w14:paraId="160A7B8A" w14:textId="77777777" w:rsidTr="007A58F7">
        <w:tc>
          <w:tcPr>
            <w:tcW w:w="3369" w:type="dxa"/>
          </w:tcPr>
          <w:p w14:paraId="1125CFDC" w14:textId="790C403F" w:rsidR="007A58F7" w:rsidRDefault="005E0F98">
            <w:pPr>
              <w:rPr>
                <w:rFonts w:ascii="Arial" w:hAnsi="Arial"/>
                <w:sz w:val="20"/>
              </w:rPr>
            </w:pPr>
            <w:r>
              <w:rPr>
                <w:rFonts w:ascii="Arial" w:hAnsi="Arial"/>
                <w:sz w:val="20"/>
              </w:rPr>
              <w:t>Replay P</w:t>
            </w:r>
            <w:r w:rsidR="00C3034B">
              <w:rPr>
                <w:rFonts w:ascii="Arial" w:hAnsi="Arial"/>
                <w:sz w:val="20"/>
              </w:rPr>
              <w:t>rotection</w:t>
            </w:r>
          </w:p>
        </w:tc>
        <w:tc>
          <w:tcPr>
            <w:tcW w:w="5147" w:type="dxa"/>
          </w:tcPr>
          <w:p w14:paraId="72A3EEBB" w14:textId="4EC277AB" w:rsidR="007A58F7" w:rsidRDefault="005E0F98">
            <w:pPr>
              <w:rPr>
                <w:rFonts w:ascii="Arial" w:hAnsi="Arial"/>
                <w:sz w:val="20"/>
              </w:rPr>
            </w:pPr>
            <w:r>
              <w:rPr>
                <w:rFonts w:ascii="Arial" w:hAnsi="Arial"/>
                <w:sz w:val="20"/>
              </w:rPr>
              <w:t>Prevent the replay of authentication requests and responses. For example, SSL encryption when sending messages between entities specifically to prevent the interception and replay of claims. Consider the use of a digital signature mechanism to sign messages as well as setting a validity period for the message.</w:t>
            </w:r>
          </w:p>
        </w:tc>
      </w:tr>
    </w:tbl>
    <w:p w14:paraId="3649578A" w14:textId="77777777" w:rsidR="00BF3090" w:rsidRDefault="00BF3090" w:rsidP="001720BC">
      <w:pPr>
        <w:pStyle w:val="profile-norm"/>
      </w:pPr>
    </w:p>
    <w:p w14:paraId="0ECD995D" w14:textId="77777777" w:rsidR="001720BC" w:rsidRDefault="001720BC" w:rsidP="001720BC">
      <w:pPr>
        <w:pStyle w:val="profile-norm"/>
      </w:pPr>
    </w:p>
    <w:p w14:paraId="4419DB6F" w14:textId="77777777" w:rsidR="005E1972" w:rsidRDefault="005E1972">
      <w:pPr>
        <w:rPr>
          <w:rFonts w:ascii="Arial" w:hAnsi="Arial"/>
          <w:sz w:val="20"/>
        </w:rPr>
      </w:pPr>
    </w:p>
    <w:p w14:paraId="47245B62" w14:textId="77777777" w:rsidR="005A17CC" w:rsidRPr="00CD3534" w:rsidRDefault="005A17CC">
      <w:pPr>
        <w:rPr>
          <w:rFonts w:ascii="Arial" w:hAnsi="Arial"/>
          <w:sz w:val="20"/>
        </w:rPr>
      </w:pPr>
    </w:p>
    <w:sectPr w:rsidR="005A17CC" w:rsidRPr="00CD3534" w:rsidSect="008901A3">
      <w:footerReference w:type="default" r:id="rId15"/>
      <w:pgSz w:w="11900" w:h="16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3953CD5" w14:textId="77777777" w:rsidR="00A11AE9" w:rsidRDefault="00A11AE9" w:rsidP="00E37CA6">
      <w:r>
        <w:separator/>
      </w:r>
    </w:p>
  </w:endnote>
  <w:endnote w:type="continuationSeparator" w:id="0">
    <w:p w14:paraId="216C15D3" w14:textId="77777777" w:rsidR="00A11AE9" w:rsidRDefault="00A11AE9" w:rsidP="00E37C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Lucida Grande">
    <w:panose1 w:val="020B0600040502020204"/>
    <w:charset w:val="00"/>
    <w:family w:val="auto"/>
    <w:pitch w:val="variable"/>
    <w:sig w:usb0="E1000AEF" w:usb1="5000A1FF" w:usb2="00000000" w:usb3="00000000" w:csb0="000001B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D9330D" w14:textId="0C6CDCAB" w:rsidR="00A11AE9" w:rsidRPr="00E37CA6" w:rsidRDefault="00A11AE9" w:rsidP="00E37CA6">
    <w:pPr>
      <w:pStyle w:val="Footer"/>
      <w:jc w:val="right"/>
      <w:rPr>
        <w:rFonts w:ascii="Arial" w:hAnsi="Arial"/>
        <w:sz w:val="20"/>
      </w:rPr>
    </w:pPr>
    <w:r w:rsidRPr="00E37CA6">
      <w:rPr>
        <w:rFonts w:ascii="Arial" w:hAnsi="Arial" w:cs="Times New Roman"/>
        <w:sz w:val="20"/>
        <w:lang w:val="en-US"/>
      </w:rPr>
      <w:t xml:space="preserve">Page </w:t>
    </w:r>
    <w:r w:rsidRPr="00E37CA6">
      <w:rPr>
        <w:rFonts w:ascii="Arial" w:hAnsi="Arial" w:cs="Times New Roman"/>
        <w:sz w:val="20"/>
        <w:lang w:val="en-US"/>
      </w:rPr>
      <w:fldChar w:fldCharType="begin"/>
    </w:r>
    <w:r w:rsidRPr="00E37CA6">
      <w:rPr>
        <w:rFonts w:ascii="Arial" w:hAnsi="Arial" w:cs="Times New Roman"/>
        <w:sz w:val="20"/>
        <w:lang w:val="en-US"/>
      </w:rPr>
      <w:instrText xml:space="preserve"> PAGE </w:instrText>
    </w:r>
    <w:r w:rsidRPr="00E37CA6">
      <w:rPr>
        <w:rFonts w:ascii="Arial" w:hAnsi="Arial" w:cs="Times New Roman"/>
        <w:sz w:val="20"/>
        <w:lang w:val="en-US"/>
      </w:rPr>
      <w:fldChar w:fldCharType="separate"/>
    </w:r>
    <w:r w:rsidR="002D3613">
      <w:rPr>
        <w:rFonts w:ascii="Arial" w:hAnsi="Arial" w:cs="Times New Roman"/>
        <w:noProof/>
        <w:sz w:val="20"/>
        <w:lang w:val="en-US"/>
      </w:rPr>
      <w:t>1</w:t>
    </w:r>
    <w:r w:rsidRPr="00E37CA6">
      <w:rPr>
        <w:rFonts w:ascii="Arial" w:hAnsi="Arial" w:cs="Times New Roman"/>
        <w:sz w:val="20"/>
        <w:lang w:val="en-US"/>
      </w:rPr>
      <w:fldChar w:fldCharType="end"/>
    </w:r>
    <w:r w:rsidRPr="00E37CA6">
      <w:rPr>
        <w:rFonts w:ascii="Arial" w:hAnsi="Arial" w:cs="Times New Roman"/>
        <w:sz w:val="20"/>
        <w:lang w:val="en-US"/>
      </w:rPr>
      <w:t xml:space="preserve"> of </w:t>
    </w:r>
    <w:r w:rsidRPr="00E37CA6">
      <w:rPr>
        <w:rFonts w:ascii="Arial" w:hAnsi="Arial" w:cs="Times New Roman"/>
        <w:sz w:val="20"/>
        <w:lang w:val="en-US"/>
      </w:rPr>
      <w:fldChar w:fldCharType="begin"/>
    </w:r>
    <w:r w:rsidRPr="00E37CA6">
      <w:rPr>
        <w:rFonts w:ascii="Arial" w:hAnsi="Arial" w:cs="Times New Roman"/>
        <w:sz w:val="20"/>
        <w:lang w:val="en-US"/>
      </w:rPr>
      <w:instrText xml:space="preserve"> NUMPAGES </w:instrText>
    </w:r>
    <w:r w:rsidRPr="00E37CA6">
      <w:rPr>
        <w:rFonts w:ascii="Arial" w:hAnsi="Arial" w:cs="Times New Roman"/>
        <w:sz w:val="20"/>
        <w:lang w:val="en-US"/>
      </w:rPr>
      <w:fldChar w:fldCharType="separate"/>
    </w:r>
    <w:r w:rsidR="002D3613">
      <w:rPr>
        <w:rFonts w:ascii="Arial" w:hAnsi="Arial" w:cs="Times New Roman"/>
        <w:noProof/>
        <w:sz w:val="20"/>
        <w:lang w:val="en-US"/>
      </w:rPr>
      <w:t>1</w:t>
    </w:r>
    <w:r w:rsidRPr="00E37CA6">
      <w:rPr>
        <w:rFonts w:ascii="Arial" w:hAnsi="Arial" w:cs="Times New Roman"/>
        <w:sz w:val="20"/>
        <w:lang w:val="en-US"/>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6889241" w14:textId="77777777" w:rsidR="00A11AE9" w:rsidRDefault="00A11AE9" w:rsidP="00E37CA6">
      <w:r>
        <w:separator/>
      </w:r>
    </w:p>
  </w:footnote>
  <w:footnote w:type="continuationSeparator" w:id="0">
    <w:p w14:paraId="18B436A1" w14:textId="77777777" w:rsidR="00A11AE9" w:rsidRDefault="00A11AE9" w:rsidP="00E37CA6">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7A1969"/>
    <w:multiLevelType w:val="multilevel"/>
    <w:tmpl w:val="1F94BFF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18E41704"/>
    <w:multiLevelType w:val="multilevel"/>
    <w:tmpl w:val="CFF450A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1E6676BD"/>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nsid w:val="1FBD4CD6"/>
    <w:multiLevelType w:val="multilevel"/>
    <w:tmpl w:val="774E7ED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29502C90"/>
    <w:multiLevelType w:val="multilevel"/>
    <w:tmpl w:val="908A8D2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346B35F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3A754D5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nsid w:val="412279B1"/>
    <w:multiLevelType w:val="hybridMultilevel"/>
    <w:tmpl w:val="850A65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2323B90"/>
    <w:multiLevelType w:val="multilevel"/>
    <w:tmpl w:val="1EEC9A1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42BF51DF"/>
    <w:multiLevelType w:val="multilevel"/>
    <w:tmpl w:val="C0BC7BEE"/>
    <w:styleLink w:val="profile-headings"/>
    <w:lvl w:ilvl="0">
      <w:start w:val="1"/>
      <w:numFmt w:val="decimal"/>
      <w:pStyle w:val="profile-h1"/>
      <w:lvlText w:val="%1"/>
      <w:lvlJc w:val="left"/>
      <w:pPr>
        <w:ind w:left="432" w:hanging="432"/>
      </w:pPr>
      <w:rPr>
        <w:rFonts w:hint="default"/>
      </w:rPr>
    </w:lvl>
    <w:lvl w:ilvl="1">
      <w:start w:val="1"/>
      <w:numFmt w:val="decimal"/>
      <w:pStyle w:val="profile-h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0">
    <w:nsid w:val="44D26DBF"/>
    <w:multiLevelType w:val="multilevel"/>
    <w:tmpl w:val="1EEC9A1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55985D2C"/>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5B3E1DAA"/>
    <w:multiLevelType w:val="multilevel"/>
    <w:tmpl w:val="908A8D2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nsid w:val="66342471"/>
    <w:multiLevelType w:val="multilevel"/>
    <w:tmpl w:val="C02CCBFC"/>
    <w:lvl w:ilvl="0">
      <w:start w:val="1"/>
      <w:numFmt w:val="decimal"/>
      <w:pStyle w:val="profile-h2"/>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3"/>
  </w:num>
  <w:num w:numId="2">
    <w:abstractNumId w:val="7"/>
  </w:num>
  <w:num w:numId="3">
    <w:abstractNumId w:val="4"/>
  </w:num>
  <w:num w:numId="4">
    <w:abstractNumId w:val="12"/>
  </w:num>
  <w:num w:numId="5">
    <w:abstractNumId w:val="2"/>
  </w:num>
  <w:num w:numId="6">
    <w:abstractNumId w:val="1"/>
  </w:num>
  <w:num w:numId="7">
    <w:abstractNumId w:val="0"/>
  </w:num>
  <w:num w:numId="8">
    <w:abstractNumId w:val="10"/>
  </w:num>
  <w:num w:numId="9">
    <w:abstractNumId w:val="5"/>
  </w:num>
  <w:num w:numId="10">
    <w:abstractNumId w:val="11"/>
  </w:num>
  <w:num w:numId="11">
    <w:abstractNumId w:val="3"/>
  </w:num>
  <w:num w:numId="12">
    <w:abstractNumId w:val="8"/>
  </w:num>
  <w:num w:numId="13">
    <w:abstractNumId w:val="9"/>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3534"/>
    <w:rsid w:val="0005311D"/>
    <w:rsid w:val="000E76C4"/>
    <w:rsid w:val="001011D9"/>
    <w:rsid w:val="001720BC"/>
    <w:rsid w:val="00196EA3"/>
    <w:rsid w:val="001D517A"/>
    <w:rsid w:val="001E12BE"/>
    <w:rsid w:val="001E2682"/>
    <w:rsid w:val="00233930"/>
    <w:rsid w:val="002935B5"/>
    <w:rsid w:val="002D3613"/>
    <w:rsid w:val="00333D4A"/>
    <w:rsid w:val="003C5A83"/>
    <w:rsid w:val="00467156"/>
    <w:rsid w:val="00582693"/>
    <w:rsid w:val="005A17CC"/>
    <w:rsid w:val="005D1DE6"/>
    <w:rsid w:val="005E0F98"/>
    <w:rsid w:val="005E1972"/>
    <w:rsid w:val="007A3443"/>
    <w:rsid w:val="007A58F7"/>
    <w:rsid w:val="0082182C"/>
    <w:rsid w:val="008901A3"/>
    <w:rsid w:val="008A2EC6"/>
    <w:rsid w:val="009427BC"/>
    <w:rsid w:val="009443EC"/>
    <w:rsid w:val="00A11AE9"/>
    <w:rsid w:val="00AD1676"/>
    <w:rsid w:val="00B05C68"/>
    <w:rsid w:val="00B60CF4"/>
    <w:rsid w:val="00B715B4"/>
    <w:rsid w:val="00B83B90"/>
    <w:rsid w:val="00BF3090"/>
    <w:rsid w:val="00C3034B"/>
    <w:rsid w:val="00CD3534"/>
    <w:rsid w:val="00E20B33"/>
    <w:rsid w:val="00E37CA6"/>
    <w:rsid w:val="00E53902"/>
    <w:rsid w:val="00F34AB6"/>
    <w:rsid w:val="00FB12E7"/>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6EE35C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aliases w:val="profile-h3"/>
    <w:basedOn w:val="Normal"/>
    <w:next w:val="Normal"/>
    <w:link w:val="Heading3Char"/>
    <w:uiPriority w:val="9"/>
    <w:unhideWhenUsed/>
    <w:qFormat/>
    <w:rsid w:val="0005311D"/>
    <w:pPr>
      <w:keepNext/>
      <w:keepLines/>
      <w:numPr>
        <w:ilvl w:val="2"/>
        <w:numId w:val="13"/>
      </w:numPr>
      <w:spacing w:before="200"/>
      <w:outlineLvl w:val="2"/>
    </w:pPr>
    <w:rPr>
      <w:rFonts w:ascii="Arial" w:eastAsiaTheme="majorEastAsia" w:hAnsi="Arial" w:cstheme="majorBidi"/>
      <w:b/>
      <w:bCs/>
    </w:rPr>
  </w:style>
  <w:style w:type="paragraph" w:styleId="Heading4">
    <w:name w:val="heading 4"/>
    <w:basedOn w:val="Normal"/>
    <w:next w:val="Normal"/>
    <w:link w:val="Heading4Char"/>
    <w:uiPriority w:val="9"/>
    <w:semiHidden/>
    <w:unhideWhenUsed/>
    <w:qFormat/>
    <w:rsid w:val="001E2682"/>
    <w:pPr>
      <w:keepNext/>
      <w:keepLines/>
      <w:numPr>
        <w:ilvl w:val="3"/>
        <w:numId w:val="13"/>
      </w:numPr>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1E2682"/>
    <w:pPr>
      <w:keepNext/>
      <w:keepLines/>
      <w:numPr>
        <w:ilvl w:val="4"/>
        <w:numId w:val="13"/>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1E2682"/>
    <w:pPr>
      <w:keepNext/>
      <w:keepLines/>
      <w:numPr>
        <w:ilvl w:val="5"/>
        <w:numId w:val="13"/>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1E2682"/>
    <w:pPr>
      <w:keepNext/>
      <w:keepLines/>
      <w:numPr>
        <w:ilvl w:val="6"/>
        <w:numId w:val="1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1E2682"/>
    <w:pPr>
      <w:keepNext/>
      <w:keepLines/>
      <w:numPr>
        <w:ilvl w:val="7"/>
        <w:numId w:val="1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1E2682"/>
    <w:pPr>
      <w:keepNext/>
      <w:keepLines/>
      <w:numPr>
        <w:ilvl w:val="8"/>
        <w:numId w:val="1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83B9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rofile-h1">
    <w:name w:val="profile-h1"/>
    <w:basedOn w:val="Normal"/>
    <w:next w:val="Normal"/>
    <w:qFormat/>
    <w:rsid w:val="001E2682"/>
    <w:pPr>
      <w:numPr>
        <w:numId w:val="13"/>
      </w:numPr>
      <w:spacing w:line="360" w:lineRule="auto"/>
    </w:pPr>
    <w:rPr>
      <w:rFonts w:ascii="Arial" w:hAnsi="Arial"/>
      <w:b/>
      <w:bCs/>
      <w:sz w:val="28"/>
      <w:szCs w:val="28"/>
    </w:rPr>
  </w:style>
  <w:style w:type="paragraph" w:customStyle="1" w:styleId="profile-title">
    <w:name w:val="profile-title"/>
    <w:basedOn w:val="Normal"/>
    <w:next w:val="Normal"/>
    <w:qFormat/>
    <w:rsid w:val="00F34AB6"/>
    <w:rPr>
      <w:rFonts w:ascii="Arial" w:hAnsi="Arial"/>
      <w:b/>
      <w:sz w:val="40"/>
    </w:rPr>
  </w:style>
  <w:style w:type="character" w:styleId="CommentReference">
    <w:name w:val="annotation reference"/>
    <w:basedOn w:val="DefaultParagraphFont"/>
    <w:uiPriority w:val="99"/>
    <w:semiHidden/>
    <w:unhideWhenUsed/>
    <w:rsid w:val="003C5A83"/>
    <w:rPr>
      <w:sz w:val="18"/>
      <w:szCs w:val="18"/>
    </w:rPr>
  </w:style>
  <w:style w:type="paragraph" w:customStyle="1" w:styleId="profile-norm">
    <w:name w:val="profile-norm"/>
    <w:basedOn w:val="Normal"/>
    <w:qFormat/>
    <w:rsid w:val="00BF3090"/>
    <w:rPr>
      <w:rFonts w:ascii="Arial" w:hAnsi="Arial"/>
      <w:sz w:val="20"/>
    </w:rPr>
  </w:style>
  <w:style w:type="paragraph" w:styleId="CommentText">
    <w:name w:val="annotation text"/>
    <w:basedOn w:val="Normal"/>
    <w:link w:val="CommentTextChar"/>
    <w:uiPriority w:val="99"/>
    <w:semiHidden/>
    <w:unhideWhenUsed/>
    <w:rsid w:val="003C5A83"/>
  </w:style>
  <w:style w:type="character" w:customStyle="1" w:styleId="CommentTextChar">
    <w:name w:val="Comment Text Char"/>
    <w:basedOn w:val="DefaultParagraphFont"/>
    <w:link w:val="CommentText"/>
    <w:uiPriority w:val="99"/>
    <w:semiHidden/>
    <w:rsid w:val="003C5A83"/>
  </w:style>
  <w:style w:type="paragraph" w:styleId="CommentSubject">
    <w:name w:val="annotation subject"/>
    <w:basedOn w:val="CommentText"/>
    <w:next w:val="CommentText"/>
    <w:link w:val="CommentSubjectChar"/>
    <w:uiPriority w:val="99"/>
    <w:semiHidden/>
    <w:unhideWhenUsed/>
    <w:rsid w:val="003C5A83"/>
    <w:rPr>
      <w:b/>
      <w:bCs/>
      <w:sz w:val="20"/>
      <w:szCs w:val="20"/>
    </w:rPr>
  </w:style>
  <w:style w:type="character" w:customStyle="1" w:styleId="CommentSubjectChar">
    <w:name w:val="Comment Subject Char"/>
    <w:basedOn w:val="CommentTextChar"/>
    <w:link w:val="CommentSubject"/>
    <w:uiPriority w:val="99"/>
    <w:semiHidden/>
    <w:rsid w:val="003C5A83"/>
    <w:rPr>
      <w:b/>
      <w:bCs/>
      <w:sz w:val="20"/>
      <w:szCs w:val="20"/>
    </w:rPr>
  </w:style>
  <w:style w:type="paragraph" w:styleId="BalloonText">
    <w:name w:val="Balloon Text"/>
    <w:basedOn w:val="Normal"/>
    <w:link w:val="BalloonTextChar"/>
    <w:uiPriority w:val="99"/>
    <w:semiHidden/>
    <w:unhideWhenUsed/>
    <w:rsid w:val="003C5A8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C5A83"/>
    <w:rPr>
      <w:rFonts w:ascii="Lucida Grande" w:hAnsi="Lucida Grande" w:cs="Lucida Grande"/>
      <w:sz w:val="18"/>
      <w:szCs w:val="18"/>
    </w:rPr>
  </w:style>
  <w:style w:type="character" w:styleId="Hyperlink">
    <w:name w:val="Hyperlink"/>
    <w:basedOn w:val="DefaultParagraphFont"/>
    <w:uiPriority w:val="99"/>
    <w:unhideWhenUsed/>
    <w:rsid w:val="003C5A83"/>
    <w:rPr>
      <w:color w:val="0000FF" w:themeColor="hyperlink"/>
      <w:u w:val="single"/>
    </w:rPr>
  </w:style>
  <w:style w:type="paragraph" w:styleId="ListParagraph">
    <w:name w:val="List Paragraph"/>
    <w:basedOn w:val="Normal"/>
    <w:uiPriority w:val="34"/>
    <w:qFormat/>
    <w:rsid w:val="003C5A83"/>
    <w:pPr>
      <w:ind w:left="720"/>
      <w:contextualSpacing/>
    </w:pPr>
  </w:style>
  <w:style w:type="paragraph" w:customStyle="1" w:styleId="profile-subtitle">
    <w:name w:val="profile-subtitle"/>
    <w:basedOn w:val="profile-title"/>
    <w:qFormat/>
    <w:rsid w:val="000E76C4"/>
    <w:rPr>
      <w:sz w:val="28"/>
    </w:rPr>
  </w:style>
  <w:style w:type="paragraph" w:customStyle="1" w:styleId="profile-h2">
    <w:name w:val="profile-h2"/>
    <w:basedOn w:val="profile-h1"/>
    <w:next w:val="profile-norm"/>
    <w:qFormat/>
    <w:rsid w:val="001E2682"/>
    <w:pPr>
      <w:numPr>
        <w:ilvl w:val="1"/>
      </w:numPr>
    </w:pPr>
  </w:style>
  <w:style w:type="numbering" w:styleId="111111">
    <w:name w:val="Outline List 2"/>
    <w:basedOn w:val="NoList"/>
    <w:uiPriority w:val="99"/>
    <w:semiHidden/>
    <w:unhideWhenUsed/>
    <w:rsid w:val="00467156"/>
    <w:pPr>
      <w:numPr>
        <w:numId w:val="10"/>
      </w:numPr>
    </w:pPr>
  </w:style>
  <w:style w:type="numbering" w:customStyle="1" w:styleId="profile-headings">
    <w:name w:val="profile-headings"/>
    <w:uiPriority w:val="99"/>
    <w:rsid w:val="001E2682"/>
    <w:pPr>
      <w:numPr>
        <w:numId w:val="13"/>
      </w:numPr>
    </w:pPr>
  </w:style>
  <w:style w:type="character" w:customStyle="1" w:styleId="Heading3Char">
    <w:name w:val="Heading 3 Char"/>
    <w:aliases w:val="profile-h3 Char"/>
    <w:basedOn w:val="DefaultParagraphFont"/>
    <w:link w:val="Heading3"/>
    <w:uiPriority w:val="9"/>
    <w:rsid w:val="0005311D"/>
    <w:rPr>
      <w:rFonts w:ascii="Arial" w:eastAsiaTheme="majorEastAsia" w:hAnsi="Arial" w:cstheme="majorBidi"/>
      <w:b/>
      <w:bCs/>
    </w:rPr>
  </w:style>
  <w:style w:type="character" w:customStyle="1" w:styleId="Heading4Char">
    <w:name w:val="Heading 4 Char"/>
    <w:basedOn w:val="DefaultParagraphFont"/>
    <w:link w:val="Heading4"/>
    <w:uiPriority w:val="9"/>
    <w:semiHidden/>
    <w:rsid w:val="001E2682"/>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1E2682"/>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1E2682"/>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1E2682"/>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1E2682"/>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1E2682"/>
    <w:rPr>
      <w:rFonts w:asciiTheme="majorHAnsi" w:eastAsiaTheme="majorEastAsia" w:hAnsiTheme="majorHAnsi" w:cstheme="majorBidi"/>
      <w:i/>
      <w:iCs/>
      <w:color w:val="404040" w:themeColor="text1" w:themeTint="BF"/>
      <w:sz w:val="20"/>
      <w:szCs w:val="20"/>
    </w:rPr>
  </w:style>
  <w:style w:type="paragraph" w:customStyle="1" w:styleId="profile-hx">
    <w:name w:val="profile-hx"/>
    <w:basedOn w:val="profile-norm"/>
    <w:qFormat/>
    <w:rsid w:val="0005311D"/>
    <w:rPr>
      <w:b/>
      <w:sz w:val="24"/>
    </w:rPr>
  </w:style>
  <w:style w:type="paragraph" w:styleId="Header">
    <w:name w:val="header"/>
    <w:basedOn w:val="Normal"/>
    <w:link w:val="HeaderChar"/>
    <w:uiPriority w:val="99"/>
    <w:unhideWhenUsed/>
    <w:rsid w:val="00E37CA6"/>
    <w:pPr>
      <w:tabs>
        <w:tab w:val="center" w:pos="4320"/>
        <w:tab w:val="right" w:pos="8640"/>
      </w:tabs>
    </w:pPr>
  </w:style>
  <w:style w:type="character" w:customStyle="1" w:styleId="HeaderChar">
    <w:name w:val="Header Char"/>
    <w:basedOn w:val="DefaultParagraphFont"/>
    <w:link w:val="Header"/>
    <w:uiPriority w:val="99"/>
    <w:rsid w:val="00E37CA6"/>
  </w:style>
  <w:style w:type="paragraph" w:styleId="Footer">
    <w:name w:val="footer"/>
    <w:basedOn w:val="Normal"/>
    <w:link w:val="FooterChar"/>
    <w:uiPriority w:val="99"/>
    <w:unhideWhenUsed/>
    <w:rsid w:val="00E37CA6"/>
    <w:pPr>
      <w:tabs>
        <w:tab w:val="center" w:pos="4320"/>
        <w:tab w:val="right" w:pos="8640"/>
      </w:tabs>
    </w:pPr>
  </w:style>
  <w:style w:type="character" w:customStyle="1" w:styleId="FooterChar">
    <w:name w:val="Footer Char"/>
    <w:basedOn w:val="DefaultParagraphFont"/>
    <w:link w:val="Footer"/>
    <w:uiPriority w:val="99"/>
    <w:rsid w:val="00E37CA6"/>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aliases w:val="profile-h3"/>
    <w:basedOn w:val="Normal"/>
    <w:next w:val="Normal"/>
    <w:link w:val="Heading3Char"/>
    <w:uiPriority w:val="9"/>
    <w:unhideWhenUsed/>
    <w:qFormat/>
    <w:rsid w:val="0005311D"/>
    <w:pPr>
      <w:keepNext/>
      <w:keepLines/>
      <w:numPr>
        <w:ilvl w:val="2"/>
        <w:numId w:val="13"/>
      </w:numPr>
      <w:spacing w:before="200"/>
      <w:outlineLvl w:val="2"/>
    </w:pPr>
    <w:rPr>
      <w:rFonts w:ascii="Arial" w:eastAsiaTheme="majorEastAsia" w:hAnsi="Arial" w:cstheme="majorBidi"/>
      <w:b/>
      <w:bCs/>
    </w:rPr>
  </w:style>
  <w:style w:type="paragraph" w:styleId="Heading4">
    <w:name w:val="heading 4"/>
    <w:basedOn w:val="Normal"/>
    <w:next w:val="Normal"/>
    <w:link w:val="Heading4Char"/>
    <w:uiPriority w:val="9"/>
    <w:semiHidden/>
    <w:unhideWhenUsed/>
    <w:qFormat/>
    <w:rsid w:val="001E2682"/>
    <w:pPr>
      <w:keepNext/>
      <w:keepLines/>
      <w:numPr>
        <w:ilvl w:val="3"/>
        <w:numId w:val="13"/>
      </w:numPr>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1E2682"/>
    <w:pPr>
      <w:keepNext/>
      <w:keepLines/>
      <w:numPr>
        <w:ilvl w:val="4"/>
        <w:numId w:val="13"/>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1E2682"/>
    <w:pPr>
      <w:keepNext/>
      <w:keepLines/>
      <w:numPr>
        <w:ilvl w:val="5"/>
        <w:numId w:val="13"/>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1E2682"/>
    <w:pPr>
      <w:keepNext/>
      <w:keepLines/>
      <w:numPr>
        <w:ilvl w:val="6"/>
        <w:numId w:val="1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1E2682"/>
    <w:pPr>
      <w:keepNext/>
      <w:keepLines/>
      <w:numPr>
        <w:ilvl w:val="7"/>
        <w:numId w:val="1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1E2682"/>
    <w:pPr>
      <w:keepNext/>
      <w:keepLines/>
      <w:numPr>
        <w:ilvl w:val="8"/>
        <w:numId w:val="1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83B9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rofile-h1">
    <w:name w:val="profile-h1"/>
    <w:basedOn w:val="Normal"/>
    <w:next w:val="Normal"/>
    <w:qFormat/>
    <w:rsid w:val="001E2682"/>
    <w:pPr>
      <w:numPr>
        <w:numId w:val="13"/>
      </w:numPr>
      <w:spacing w:line="360" w:lineRule="auto"/>
    </w:pPr>
    <w:rPr>
      <w:rFonts w:ascii="Arial" w:hAnsi="Arial"/>
      <w:b/>
      <w:bCs/>
      <w:sz w:val="28"/>
      <w:szCs w:val="28"/>
    </w:rPr>
  </w:style>
  <w:style w:type="paragraph" w:customStyle="1" w:styleId="profile-title">
    <w:name w:val="profile-title"/>
    <w:basedOn w:val="Normal"/>
    <w:next w:val="Normal"/>
    <w:qFormat/>
    <w:rsid w:val="00F34AB6"/>
    <w:rPr>
      <w:rFonts w:ascii="Arial" w:hAnsi="Arial"/>
      <w:b/>
      <w:sz w:val="40"/>
    </w:rPr>
  </w:style>
  <w:style w:type="character" w:styleId="CommentReference">
    <w:name w:val="annotation reference"/>
    <w:basedOn w:val="DefaultParagraphFont"/>
    <w:uiPriority w:val="99"/>
    <w:semiHidden/>
    <w:unhideWhenUsed/>
    <w:rsid w:val="003C5A83"/>
    <w:rPr>
      <w:sz w:val="18"/>
      <w:szCs w:val="18"/>
    </w:rPr>
  </w:style>
  <w:style w:type="paragraph" w:customStyle="1" w:styleId="profile-norm">
    <w:name w:val="profile-norm"/>
    <w:basedOn w:val="Normal"/>
    <w:qFormat/>
    <w:rsid w:val="00BF3090"/>
    <w:rPr>
      <w:rFonts w:ascii="Arial" w:hAnsi="Arial"/>
      <w:sz w:val="20"/>
    </w:rPr>
  </w:style>
  <w:style w:type="paragraph" w:styleId="CommentText">
    <w:name w:val="annotation text"/>
    <w:basedOn w:val="Normal"/>
    <w:link w:val="CommentTextChar"/>
    <w:uiPriority w:val="99"/>
    <w:semiHidden/>
    <w:unhideWhenUsed/>
    <w:rsid w:val="003C5A83"/>
  </w:style>
  <w:style w:type="character" w:customStyle="1" w:styleId="CommentTextChar">
    <w:name w:val="Comment Text Char"/>
    <w:basedOn w:val="DefaultParagraphFont"/>
    <w:link w:val="CommentText"/>
    <w:uiPriority w:val="99"/>
    <w:semiHidden/>
    <w:rsid w:val="003C5A83"/>
  </w:style>
  <w:style w:type="paragraph" w:styleId="CommentSubject">
    <w:name w:val="annotation subject"/>
    <w:basedOn w:val="CommentText"/>
    <w:next w:val="CommentText"/>
    <w:link w:val="CommentSubjectChar"/>
    <w:uiPriority w:val="99"/>
    <w:semiHidden/>
    <w:unhideWhenUsed/>
    <w:rsid w:val="003C5A83"/>
    <w:rPr>
      <w:b/>
      <w:bCs/>
      <w:sz w:val="20"/>
      <w:szCs w:val="20"/>
    </w:rPr>
  </w:style>
  <w:style w:type="character" w:customStyle="1" w:styleId="CommentSubjectChar">
    <w:name w:val="Comment Subject Char"/>
    <w:basedOn w:val="CommentTextChar"/>
    <w:link w:val="CommentSubject"/>
    <w:uiPriority w:val="99"/>
    <w:semiHidden/>
    <w:rsid w:val="003C5A83"/>
    <w:rPr>
      <w:b/>
      <w:bCs/>
      <w:sz w:val="20"/>
      <w:szCs w:val="20"/>
    </w:rPr>
  </w:style>
  <w:style w:type="paragraph" w:styleId="BalloonText">
    <w:name w:val="Balloon Text"/>
    <w:basedOn w:val="Normal"/>
    <w:link w:val="BalloonTextChar"/>
    <w:uiPriority w:val="99"/>
    <w:semiHidden/>
    <w:unhideWhenUsed/>
    <w:rsid w:val="003C5A8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C5A83"/>
    <w:rPr>
      <w:rFonts w:ascii="Lucida Grande" w:hAnsi="Lucida Grande" w:cs="Lucida Grande"/>
      <w:sz w:val="18"/>
      <w:szCs w:val="18"/>
    </w:rPr>
  </w:style>
  <w:style w:type="character" w:styleId="Hyperlink">
    <w:name w:val="Hyperlink"/>
    <w:basedOn w:val="DefaultParagraphFont"/>
    <w:uiPriority w:val="99"/>
    <w:unhideWhenUsed/>
    <w:rsid w:val="003C5A83"/>
    <w:rPr>
      <w:color w:val="0000FF" w:themeColor="hyperlink"/>
      <w:u w:val="single"/>
    </w:rPr>
  </w:style>
  <w:style w:type="paragraph" w:styleId="ListParagraph">
    <w:name w:val="List Paragraph"/>
    <w:basedOn w:val="Normal"/>
    <w:uiPriority w:val="34"/>
    <w:qFormat/>
    <w:rsid w:val="003C5A83"/>
    <w:pPr>
      <w:ind w:left="720"/>
      <w:contextualSpacing/>
    </w:pPr>
  </w:style>
  <w:style w:type="paragraph" w:customStyle="1" w:styleId="profile-subtitle">
    <w:name w:val="profile-subtitle"/>
    <w:basedOn w:val="profile-title"/>
    <w:qFormat/>
    <w:rsid w:val="000E76C4"/>
    <w:rPr>
      <w:sz w:val="28"/>
    </w:rPr>
  </w:style>
  <w:style w:type="paragraph" w:customStyle="1" w:styleId="profile-h2">
    <w:name w:val="profile-h2"/>
    <w:basedOn w:val="profile-h1"/>
    <w:next w:val="profile-norm"/>
    <w:qFormat/>
    <w:rsid w:val="001E2682"/>
    <w:pPr>
      <w:numPr>
        <w:ilvl w:val="1"/>
      </w:numPr>
    </w:pPr>
  </w:style>
  <w:style w:type="numbering" w:styleId="111111">
    <w:name w:val="Outline List 2"/>
    <w:basedOn w:val="NoList"/>
    <w:uiPriority w:val="99"/>
    <w:semiHidden/>
    <w:unhideWhenUsed/>
    <w:rsid w:val="00467156"/>
    <w:pPr>
      <w:numPr>
        <w:numId w:val="10"/>
      </w:numPr>
    </w:pPr>
  </w:style>
  <w:style w:type="numbering" w:customStyle="1" w:styleId="profile-headings">
    <w:name w:val="profile-headings"/>
    <w:uiPriority w:val="99"/>
    <w:rsid w:val="001E2682"/>
    <w:pPr>
      <w:numPr>
        <w:numId w:val="13"/>
      </w:numPr>
    </w:pPr>
  </w:style>
  <w:style w:type="character" w:customStyle="1" w:styleId="Heading3Char">
    <w:name w:val="Heading 3 Char"/>
    <w:aliases w:val="profile-h3 Char"/>
    <w:basedOn w:val="DefaultParagraphFont"/>
    <w:link w:val="Heading3"/>
    <w:uiPriority w:val="9"/>
    <w:rsid w:val="0005311D"/>
    <w:rPr>
      <w:rFonts w:ascii="Arial" w:eastAsiaTheme="majorEastAsia" w:hAnsi="Arial" w:cstheme="majorBidi"/>
      <w:b/>
      <w:bCs/>
    </w:rPr>
  </w:style>
  <w:style w:type="character" w:customStyle="1" w:styleId="Heading4Char">
    <w:name w:val="Heading 4 Char"/>
    <w:basedOn w:val="DefaultParagraphFont"/>
    <w:link w:val="Heading4"/>
    <w:uiPriority w:val="9"/>
    <w:semiHidden/>
    <w:rsid w:val="001E2682"/>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1E2682"/>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1E2682"/>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1E2682"/>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1E2682"/>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1E2682"/>
    <w:rPr>
      <w:rFonts w:asciiTheme="majorHAnsi" w:eastAsiaTheme="majorEastAsia" w:hAnsiTheme="majorHAnsi" w:cstheme="majorBidi"/>
      <w:i/>
      <w:iCs/>
      <w:color w:val="404040" w:themeColor="text1" w:themeTint="BF"/>
      <w:sz w:val="20"/>
      <w:szCs w:val="20"/>
    </w:rPr>
  </w:style>
  <w:style w:type="paragraph" w:customStyle="1" w:styleId="profile-hx">
    <w:name w:val="profile-hx"/>
    <w:basedOn w:val="profile-norm"/>
    <w:qFormat/>
    <w:rsid w:val="0005311D"/>
    <w:rPr>
      <w:b/>
      <w:sz w:val="24"/>
    </w:rPr>
  </w:style>
  <w:style w:type="paragraph" w:styleId="Header">
    <w:name w:val="header"/>
    <w:basedOn w:val="Normal"/>
    <w:link w:val="HeaderChar"/>
    <w:uiPriority w:val="99"/>
    <w:unhideWhenUsed/>
    <w:rsid w:val="00E37CA6"/>
    <w:pPr>
      <w:tabs>
        <w:tab w:val="center" w:pos="4320"/>
        <w:tab w:val="right" w:pos="8640"/>
      </w:tabs>
    </w:pPr>
  </w:style>
  <w:style w:type="character" w:customStyle="1" w:styleId="HeaderChar">
    <w:name w:val="Header Char"/>
    <w:basedOn w:val="DefaultParagraphFont"/>
    <w:link w:val="Header"/>
    <w:uiPriority w:val="99"/>
    <w:rsid w:val="00E37CA6"/>
  </w:style>
  <w:style w:type="paragraph" w:styleId="Footer">
    <w:name w:val="footer"/>
    <w:basedOn w:val="Normal"/>
    <w:link w:val="FooterChar"/>
    <w:uiPriority w:val="99"/>
    <w:unhideWhenUsed/>
    <w:rsid w:val="00E37CA6"/>
    <w:pPr>
      <w:tabs>
        <w:tab w:val="center" w:pos="4320"/>
        <w:tab w:val="right" w:pos="8640"/>
      </w:tabs>
    </w:pPr>
  </w:style>
  <w:style w:type="character" w:customStyle="1" w:styleId="FooterChar">
    <w:name w:val="Footer Char"/>
    <w:basedOn w:val="DefaultParagraphFont"/>
    <w:link w:val="Footer"/>
    <w:uiPriority w:val="99"/>
    <w:rsid w:val="00E37C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8008904">
      <w:bodyDiv w:val="1"/>
      <w:marLeft w:val="0"/>
      <w:marRight w:val="0"/>
      <w:marTop w:val="0"/>
      <w:marBottom w:val="0"/>
      <w:divBdr>
        <w:top w:val="none" w:sz="0" w:space="0" w:color="auto"/>
        <w:left w:val="none" w:sz="0" w:space="0" w:color="auto"/>
        <w:bottom w:val="none" w:sz="0" w:space="0" w:color="auto"/>
        <w:right w:val="none" w:sz="0" w:space="0" w:color="auto"/>
      </w:divBdr>
    </w:div>
    <w:div w:id="32382367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idmanagement.gov/ns/assurance/loa/3" TargetMode="External"/><Relationship Id="rId12" Type="http://schemas.openxmlformats.org/officeDocument/2006/relationships/hyperlink" Target="http://eidas.europa.eu/LoA/low" TargetMode="External"/><Relationship Id="rId13" Type="http://schemas.openxmlformats.org/officeDocument/2006/relationships/hyperlink" Target="http://eidas.europa.eu/LoA/substantial" TargetMode="External"/><Relationship Id="rId14" Type="http://schemas.openxmlformats.org/officeDocument/2006/relationships/hyperlink" Target="http://eidas.europa.eu/LoA/high" TargetMode="External"/><Relationship Id="rId15" Type="http://schemas.openxmlformats.org/officeDocument/2006/relationships/footer" Target="footer1.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idmanagement.gov/ns/assurance/loa/1" TargetMode="External"/><Relationship Id="rId10" Type="http://schemas.openxmlformats.org/officeDocument/2006/relationships/hyperlink" Target="http://idmanagement.gov/ns/assurance/loa/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5ECE31-E797-814B-82CA-7F2BE74019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242</TotalTime>
  <Pages>1</Pages>
  <Words>1757</Words>
  <Characters>10018</Characters>
  <Application>Microsoft Macintosh Word</Application>
  <DocSecurity>0</DocSecurity>
  <Lines>83</Lines>
  <Paragraphs>23</Paragraphs>
  <ScaleCrop>false</ScaleCrop>
  <Company/>
  <LinksUpToDate>false</LinksUpToDate>
  <CharactersWithSpaces>11752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Cooper</dc:creator>
  <cp:keywords/>
  <dc:description/>
  <cp:lastModifiedBy>Adam Cooper</cp:lastModifiedBy>
  <cp:revision>21</cp:revision>
  <dcterms:created xsi:type="dcterms:W3CDTF">2016-03-09T14:30:00Z</dcterms:created>
  <dcterms:modified xsi:type="dcterms:W3CDTF">2016-04-05T08:48:00Z</dcterms:modified>
</cp:coreProperties>
</file>