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AEF66D" w14:textId="77777777" w:rsidR="00DD0168" w:rsidRDefault="00542051" w:rsidP="00542051">
      <w:pPr>
        <w:pStyle w:val="Heading2"/>
      </w:pPr>
      <w:bookmarkStart w:id="0" w:name="_GoBack"/>
      <w:r>
        <w:t>Clinical Research</w:t>
      </w:r>
    </w:p>
    <w:bookmarkEnd w:id="0"/>
    <w:p w14:paraId="7C309A52" w14:textId="77777777" w:rsidR="00DD0168" w:rsidRDefault="00DD0168" w:rsidP="00DD0168">
      <w:r>
        <w:t xml:space="preserve">Overall, under current disciplines, patients have no ownership rights over data collected from research.  Obtaining informed consent is required.  </w:t>
      </w:r>
    </w:p>
    <w:p w14:paraId="6F9D3D1D" w14:textId="77777777" w:rsidR="00542051" w:rsidRDefault="00DD0168" w:rsidP="00DD0168">
      <w:pPr>
        <w:rPr>
          <w:sz w:val="22"/>
        </w:rPr>
      </w:pPr>
      <w:r>
        <w:t xml:space="preserve">While there may be some desire for legal and regulatory policy </w:t>
      </w:r>
      <w:proofErr w:type="gramStart"/>
      <w:r>
        <w:t xml:space="preserve">changes, </w:t>
      </w:r>
      <w:r w:rsidR="00542051">
        <w:t xml:space="preserve"> </w:t>
      </w:r>
      <w:r>
        <w:t>that</w:t>
      </w:r>
      <w:proofErr w:type="gramEnd"/>
      <w:r>
        <w:t xml:space="preserve"> is out of scope for this document.</w:t>
      </w:r>
    </w:p>
    <w:p w14:paraId="7E3E6F27" w14:textId="77777777" w:rsidR="00542051" w:rsidRDefault="00542051" w:rsidP="00542051">
      <w:pPr>
        <w:pStyle w:val="Heading3"/>
      </w:pPr>
      <w:r>
        <w:t>Testing a new intervention or drug</w:t>
      </w:r>
    </w:p>
    <w:p w14:paraId="3C3B217B" w14:textId="77777777" w:rsidR="00542051" w:rsidRPr="00A2112E" w:rsidRDefault="00542051" w:rsidP="00542051">
      <w:pPr>
        <w:rPr>
          <w:rFonts w:cs="Times New Roman"/>
        </w:rPr>
      </w:pPr>
      <w:r w:rsidRPr="00A2112E">
        <w:rPr>
          <w:rFonts w:cs="Times New Roman"/>
        </w:rPr>
        <w:t xml:space="preserve">This is what most people think of as clinical research.  </w:t>
      </w:r>
      <w:r w:rsidRPr="00A2112E">
        <w:rPr>
          <w:rFonts w:cs="Times New Roman"/>
        </w:rPr>
        <w:t xml:space="preserve">Obtaining </w:t>
      </w:r>
      <w:r w:rsidRPr="00A2112E">
        <w:rPr>
          <w:rFonts w:cs="Times New Roman"/>
        </w:rPr>
        <w:t xml:space="preserve">the subject patients’ </w:t>
      </w:r>
      <w:r w:rsidRPr="00A2112E">
        <w:rPr>
          <w:rFonts w:cs="Times New Roman"/>
        </w:rPr>
        <w:t>informed consent</w:t>
      </w:r>
      <w:r w:rsidRPr="00A2112E">
        <w:rPr>
          <w:rFonts w:cs="Times New Roman"/>
        </w:rPr>
        <w:t>s</w:t>
      </w:r>
      <w:r w:rsidRPr="00A2112E">
        <w:rPr>
          <w:rFonts w:cs="Times New Roman"/>
        </w:rPr>
        <w:t xml:space="preserve"> is essential to research.    </w:t>
      </w:r>
    </w:p>
    <w:p w14:paraId="43803E54" w14:textId="77777777" w:rsidR="00A04448" w:rsidRDefault="00A2112E" w:rsidP="00A2112E">
      <w:pPr>
        <w:rPr>
          <w:rFonts w:cs="Times New Roman"/>
        </w:rPr>
      </w:pPr>
      <w:r w:rsidRPr="00A2112E">
        <w:rPr>
          <w:rFonts w:cs="Times New Roman"/>
        </w:rPr>
        <w:t xml:space="preserve">Each patient consents to participation, which may include a new intervention or drug.  It can be presumed that the consent is an umbrella that includes data collection in addition to treatment. </w:t>
      </w:r>
      <w:r w:rsidR="00A04448">
        <w:rPr>
          <w:rFonts w:cs="Times New Roman"/>
        </w:rPr>
        <w:t>C</w:t>
      </w:r>
      <w:r w:rsidR="00A04448">
        <w:rPr>
          <w:rFonts w:cs="Times New Roman"/>
        </w:rPr>
        <w:t xml:space="preserve">onsents </w:t>
      </w:r>
      <w:r w:rsidR="00A04448">
        <w:rPr>
          <w:rFonts w:cs="Times New Roman"/>
        </w:rPr>
        <w:t xml:space="preserve">may </w:t>
      </w:r>
      <w:r w:rsidR="00A04448">
        <w:rPr>
          <w:rFonts w:cs="Times New Roman"/>
        </w:rPr>
        <w:t xml:space="preserve">include subsequent use </w:t>
      </w:r>
      <w:r w:rsidR="00A04448">
        <w:rPr>
          <w:rFonts w:cs="Times New Roman"/>
        </w:rPr>
        <w:t xml:space="preserve">of the data </w:t>
      </w:r>
      <w:r w:rsidR="00A04448">
        <w:rPr>
          <w:rFonts w:cs="Times New Roman"/>
        </w:rPr>
        <w:t>in meta-analysis.</w:t>
      </w:r>
      <w:r w:rsidRPr="00A2112E">
        <w:rPr>
          <w:rFonts w:cs="Times New Roman"/>
        </w:rPr>
        <w:t xml:space="preserve"> </w:t>
      </w:r>
    </w:p>
    <w:p w14:paraId="29E403C5" w14:textId="77777777" w:rsidR="00A2112E" w:rsidRPr="00A2112E" w:rsidRDefault="00A2112E" w:rsidP="00A2112E">
      <w:pPr>
        <w:rPr>
          <w:rFonts w:cs="Times New Roman"/>
        </w:rPr>
      </w:pPr>
      <w:r w:rsidRPr="00A2112E">
        <w:rPr>
          <w:rFonts w:cs="Times New Roman"/>
        </w:rPr>
        <w:t>Separating the consent into its components – clinical acts and data collection -- can occur before or after the act of consent.</w:t>
      </w:r>
      <w:r w:rsidR="00A04448">
        <w:rPr>
          <w:rFonts w:cs="Times New Roman"/>
        </w:rPr>
        <w:t xml:space="preserve">  </w:t>
      </w:r>
    </w:p>
    <w:p w14:paraId="2B715B95" w14:textId="77777777" w:rsidR="00C636F5" w:rsidRPr="00A2112E" w:rsidRDefault="00C636F5" w:rsidP="00542051">
      <w:pPr>
        <w:rPr>
          <w:rFonts w:cs="Times New Roman"/>
        </w:rPr>
      </w:pPr>
      <w:r w:rsidRPr="00A2112E">
        <w:rPr>
          <w:rFonts w:cs="Times New Roman"/>
        </w:rPr>
        <w:t>Issues:</w:t>
      </w:r>
    </w:p>
    <w:p w14:paraId="36D333C1" w14:textId="77777777" w:rsidR="00542051" w:rsidRPr="00A2112E" w:rsidRDefault="00542051" w:rsidP="00C636F5">
      <w:pPr>
        <w:pStyle w:val="ListParagraph"/>
        <w:numPr>
          <w:ilvl w:val="0"/>
          <w:numId w:val="3"/>
        </w:numPr>
        <w:rPr>
          <w:rFonts w:ascii="Times New Roman" w:hAnsi="Times New Roman" w:cs="Times New Roman"/>
        </w:rPr>
      </w:pPr>
      <w:r w:rsidRPr="00A2112E">
        <w:rPr>
          <w:rFonts w:ascii="Times New Roman" w:hAnsi="Times New Roman" w:cs="Times New Roman"/>
        </w:rPr>
        <w:t xml:space="preserve">Under current disciplines, </w:t>
      </w:r>
      <w:r w:rsidR="00C636F5" w:rsidRPr="00A2112E">
        <w:rPr>
          <w:rFonts w:ascii="Times New Roman" w:hAnsi="Times New Roman" w:cs="Times New Roman"/>
        </w:rPr>
        <w:t xml:space="preserve">following their consent, </w:t>
      </w:r>
      <w:r w:rsidRPr="00A2112E">
        <w:rPr>
          <w:rFonts w:ascii="Times New Roman" w:hAnsi="Times New Roman" w:cs="Times New Roman"/>
        </w:rPr>
        <w:t xml:space="preserve">patients </w:t>
      </w:r>
      <w:r w:rsidR="00C636F5" w:rsidRPr="00A2112E">
        <w:rPr>
          <w:rFonts w:ascii="Times New Roman" w:hAnsi="Times New Roman" w:cs="Times New Roman"/>
        </w:rPr>
        <w:t>have no control over the use of their data from research.  The data are often proprietary and subject to intellectual property protections.</w:t>
      </w:r>
      <w:r w:rsidR="00A04448">
        <w:rPr>
          <w:rFonts w:ascii="Times New Roman" w:hAnsi="Times New Roman" w:cs="Times New Roman"/>
        </w:rPr>
        <w:t xml:space="preserve">  They are not subject to patients’ ownership rights.</w:t>
      </w:r>
    </w:p>
    <w:p w14:paraId="5F7537AC" w14:textId="77777777" w:rsidR="00C636F5" w:rsidRDefault="00C636F5" w:rsidP="00C636F5">
      <w:pPr>
        <w:pStyle w:val="ListParagraph"/>
        <w:numPr>
          <w:ilvl w:val="0"/>
          <w:numId w:val="3"/>
        </w:numPr>
        <w:rPr>
          <w:rFonts w:ascii="Times New Roman" w:hAnsi="Times New Roman" w:cs="Times New Roman"/>
        </w:rPr>
      </w:pPr>
      <w:r w:rsidRPr="00A2112E">
        <w:rPr>
          <w:rFonts w:ascii="Times New Roman" w:hAnsi="Times New Roman" w:cs="Times New Roman"/>
        </w:rPr>
        <w:t>Under double-blind research protocols, patients have no access to the data.  Clinicians also may not have access to individual patients’ data.</w:t>
      </w:r>
    </w:p>
    <w:p w14:paraId="2EE5A30B" w14:textId="77777777" w:rsidR="00A04448" w:rsidRPr="00A2112E" w:rsidRDefault="00A04448" w:rsidP="00C636F5">
      <w:pPr>
        <w:pStyle w:val="ListParagraph"/>
        <w:numPr>
          <w:ilvl w:val="0"/>
          <w:numId w:val="3"/>
        </w:numPr>
        <w:rPr>
          <w:rFonts w:ascii="Times New Roman" w:hAnsi="Times New Roman" w:cs="Times New Roman"/>
        </w:rPr>
      </w:pPr>
      <w:r>
        <w:rPr>
          <w:rFonts w:ascii="Times New Roman" w:hAnsi="Times New Roman" w:cs="Times New Roman"/>
        </w:rPr>
        <w:t xml:space="preserve">The data may not include current clinical coding, as the objects of research may not have been included in current standardized code sets.  This may make subsequent patient queries difficult, even if permitted.  </w:t>
      </w:r>
    </w:p>
    <w:p w14:paraId="3AACA381" w14:textId="77777777" w:rsidR="00C636F5" w:rsidRPr="00A2112E" w:rsidRDefault="00C636F5" w:rsidP="00C636F5">
      <w:pPr>
        <w:pStyle w:val="ListParagraph"/>
        <w:numPr>
          <w:ilvl w:val="0"/>
          <w:numId w:val="3"/>
        </w:numPr>
        <w:rPr>
          <w:rFonts w:ascii="Times New Roman" w:hAnsi="Times New Roman" w:cs="Times New Roman"/>
        </w:rPr>
      </w:pPr>
      <w:r w:rsidRPr="00A2112E">
        <w:rPr>
          <w:rFonts w:ascii="Times New Roman" w:hAnsi="Times New Roman" w:cs="Times New Roman"/>
        </w:rPr>
        <w:t>Institutional review boards (IRBs) control the policies, including conformance with legal, regulatory, and ethical requirements.  The patients’ may be granted some rights by IRBs, and that language will be included in the consent documents.</w:t>
      </w:r>
    </w:p>
    <w:p w14:paraId="0C0962C9" w14:textId="77777777" w:rsidR="00C636F5" w:rsidRPr="00A2112E" w:rsidRDefault="00C636F5" w:rsidP="00C636F5">
      <w:pPr>
        <w:pStyle w:val="ListParagraph"/>
        <w:numPr>
          <w:ilvl w:val="0"/>
          <w:numId w:val="3"/>
        </w:numPr>
        <w:rPr>
          <w:rFonts w:ascii="Times New Roman" w:hAnsi="Times New Roman" w:cs="Times New Roman"/>
        </w:rPr>
      </w:pPr>
      <w:r w:rsidRPr="00A2112E">
        <w:rPr>
          <w:rFonts w:ascii="Times New Roman" w:hAnsi="Times New Roman" w:cs="Times New Roman"/>
        </w:rPr>
        <w:t>Paper documents with wet signatures are the norm.  Capturing consents electronically will require a trusted intermediary transcriptionist.</w:t>
      </w:r>
    </w:p>
    <w:p w14:paraId="5F1F611B" w14:textId="77777777" w:rsidR="00542051" w:rsidRDefault="00A2112E" w:rsidP="00542051">
      <w:pPr>
        <w:pStyle w:val="Heading3"/>
      </w:pPr>
      <w:r>
        <w:t>Pragmatic Trials</w:t>
      </w:r>
    </w:p>
    <w:p w14:paraId="51DD2977" w14:textId="77777777" w:rsidR="00A2112E" w:rsidRPr="00A2112E" w:rsidRDefault="00A2112E" w:rsidP="00A2112E">
      <w:pPr>
        <w:rPr>
          <w:rFonts w:cs="Times New Roman"/>
        </w:rPr>
      </w:pPr>
      <w:r w:rsidRPr="00A2112E">
        <w:rPr>
          <w:rFonts w:cs="Times New Roman"/>
        </w:rPr>
        <w:t xml:space="preserve">This </w:t>
      </w:r>
      <w:r>
        <w:rPr>
          <w:rFonts w:cs="Times New Roman"/>
        </w:rPr>
        <w:t>research collects data regarding the efficacy of current interventions or drugs</w:t>
      </w:r>
      <w:r w:rsidRPr="00A2112E">
        <w:rPr>
          <w:rFonts w:cs="Times New Roman"/>
        </w:rPr>
        <w:t xml:space="preserve">.  Obtaining the subject patients’ informed consents is essential to </w:t>
      </w:r>
      <w:r>
        <w:rPr>
          <w:rFonts w:cs="Times New Roman"/>
        </w:rPr>
        <w:t>the data-gathering, which may be a simple re-purposing of data that is normally collected during treatment.</w:t>
      </w:r>
    </w:p>
    <w:p w14:paraId="2C8CA036" w14:textId="77777777" w:rsidR="00A04448" w:rsidRDefault="00A2112E" w:rsidP="00A2112E">
      <w:pPr>
        <w:rPr>
          <w:rFonts w:cs="Times New Roman"/>
        </w:rPr>
      </w:pPr>
      <w:r w:rsidRPr="00A2112E">
        <w:rPr>
          <w:rFonts w:cs="Times New Roman"/>
        </w:rPr>
        <w:t>Each patient consents to participation</w:t>
      </w:r>
      <w:r>
        <w:rPr>
          <w:rFonts w:cs="Times New Roman"/>
        </w:rPr>
        <w:t xml:space="preserve"> as part of the provider’s admission process</w:t>
      </w:r>
      <w:r w:rsidRPr="00A2112E">
        <w:rPr>
          <w:rFonts w:cs="Times New Roman"/>
        </w:rPr>
        <w:t xml:space="preserve">.  It can be presumed that the consent is an umbrella that includes data collection in addition to treatment.  </w:t>
      </w:r>
    </w:p>
    <w:p w14:paraId="29EAF343" w14:textId="77777777" w:rsidR="00A2112E" w:rsidRPr="00A2112E" w:rsidRDefault="00A2112E" w:rsidP="00A2112E">
      <w:pPr>
        <w:rPr>
          <w:rFonts w:cs="Times New Roman"/>
        </w:rPr>
      </w:pPr>
      <w:r w:rsidRPr="00A2112E">
        <w:rPr>
          <w:rFonts w:cs="Times New Roman"/>
        </w:rPr>
        <w:t>Separating the consent into its components – clinical acts and data collection -- can occur before or after the act of consent.</w:t>
      </w:r>
    </w:p>
    <w:p w14:paraId="35831B4C" w14:textId="77777777" w:rsidR="00A2112E" w:rsidRPr="00A2112E" w:rsidRDefault="00A2112E" w:rsidP="00A2112E">
      <w:pPr>
        <w:rPr>
          <w:rFonts w:cs="Times New Roman"/>
        </w:rPr>
      </w:pPr>
      <w:r w:rsidRPr="00A2112E">
        <w:rPr>
          <w:rFonts w:cs="Times New Roman"/>
        </w:rPr>
        <w:lastRenderedPageBreak/>
        <w:t>Issues:</w:t>
      </w:r>
    </w:p>
    <w:p w14:paraId="01BAF0CE" w14:textId="77777777" w:rsidR="00A04448" w:rsidRPr="00A2112E" w:rsidRDefault="00A2112E" w:rsidP="00A04448">
      <w:pPr>
        <w:pStyle w:val="ListParagraph"/>
        <w:numPr>
          <w:ilvl w:val="0"/>
          <w:numId w:val="3"/>
        </w:numPr>
        <w:rPr>
          <w:rFonts w:ascii="Times New Roman" w:hAnsi="Times New Roman" w:cs="Times New Roman"/>
        </w:rPr>
      </w:pPr>
      <w:r w:rsidRPr="00A2112E">
        <w:rPr>
          <w:rFonts w:ascii="Times New Roman" w:hAnsi="Times New Roman" w:cs="Times New Roman"/>
        </w:rPr>
        <w:t xml:space="preserve">Under current disciplines, following their consent, patients have no control over the use of their data from research.  The data </w:t>
      </w:r>
      <w:r>
        <w:rPr>
          <w:rFonts w:ascii="Times New Roman" w:hAnsi="Times New Roman" w:cs="Times New Roman"/>
        </w:rPr>
        <w:t>may be</w:t>
      </w:r>
      <w:r w:rsidRPr="00A2112E">
        <w:rPr>
          <w:rFonts w:ascii="Times New Roman" w:hAnsi="Times New Roman" w:cs="Times New Roman"/>
        </w:rPr>
        <w:t xml:space="preserve"> proprietary and subject to intellectual property protections.</w:t>
      </w:r>
      <w:r w:rsidR="00A04448">
        <w:rPr>
          <w:rFonts w:ascii="Times New Roman" w:hAnsi="Times New Roman" w:cs="Times New Roman"/>
        </w:rPr>
        <w:t xml:space="preserve"> </w:t>
      </w:r>
      <w:r w:rsidR="00A04448">
        <w:rPr>
          <w:rFonts w:ascii="Times New Roman" w:hAnsi="Times New Roman" w:cs="Times New Roman"/>
        </w:rPr>
        <w:t>They are not subject to patients’ ownership rights.</w:t>
      </w:r>
    </w:p>
    <w:p w14:paraId="7BB4B92B" w14:textId="77777777" w:rsidR="00A2112E" w:rsidRPr="00A2112E" w:rsidRDefault="00A2112E" w:rsidP="00A2112E">
      <w:pPr>
        <w:pStyle w:val="ListParagraph"/>
        <w:numPr>
          <w:ilvl w:val="0"/>
          <w:numId w:val="3"/>
        </w:numPr>
        <w:rPr>
          <w:rFonts w:ascii="Times New Roman" w:hAnsi="Times New Roman" w:cs="Times New Roman"/>
        </w:rPr>
      </w:pPr>
      <w:r>
        <w:rPr>
          <w:rFonts w:ascii="Times New Roman" w:hAnsi="Times New Roman" w:cs="Times New Roman"/>
        </w:rPr>
        <w:t>P</w:t>
      </w:r>
      <w:r w:rsidRPr="00A2112E">
        <w:rPr>
          <w:rFonts w:ascii="Times New Roman" w:hAnsi="Times New Roman" w:cs="Times New Roman"/>
        </w:rPr>
        <w:t>atients have no access to the data</w:t>
      </w:r>
      <w:r>
        <w:rPr>
          <w:rFonts w:ascii="Times New Roman" w:hAnsi="Times New Roman" w:cs="Times New Roman"/>
        </w:rPr>
        <w:t xml:space="preserve"> concurrent with the intervention or use of drugs.  They may have access after the research is complete.</w:t>
      </w:r>
    </w:p>
    <w:p w14:paraId="5F309883" w14:textId="77777777" w:rsidR="00A2112E" w:rsidRPr="00A2112E" w:rsidRDefault="00A2112E" w:rsidP="00A2112E">
      <w:pPr>
        <w:pStyle w:val="ListParagraph"/>
        <w:numPr>
          <w:ilvl w:val="0"/>
          <w:numId w:val="3"/>
        </w:numPr>
        <w:rPr>
          <w:rFonts w:ascii="Times New Roman" w:hAnsi="Times New Roman" w:cs="Times New Roman"/>
        </w:rPr>
      </w:pPr>
      <w:r w:rsidRPr="00A2112E">
        <w:rPr>
          <w:rFonts w:ascii="Times New Roman" w:hAnsi="Times New Roman" w:cs="Times New Roman"/>
        </w:rPr>
        <w:t>Institutional review boards (IRBs) control the policies, including conformance with legal, regulatory, and ethical requirements.  The patients’ may be granted some rights by IRBs, and that language will be included in the consent documents.</w:t>
      </w:r>
    </w:p>
    <w:p w14:paraId="6657CE1A" w14:textId="77777777" w:rsidR="00A2112E" w:rsidRPr="00A2112E" w:rsidRDefault="00A2112E" w:rsidP="00A2112E">
      <w:pPr>
        <w:pStyle w:val="ListParagraph"/>
        <w:numPr>
          <w:ilvl w:val="0"/>
          <w:numId w:val="3"/>
        </w:numPr>
        <w:rPr>
          <w:rFonts w:ascii="Times New Roman" w:hAnsi="Times New Roman" w:cs="Times New Roman"/>
        </w:rPr>
      </w:pPr>
      <w:r w:rsidRPr="00A2112E">
        <w:rPr>
          <w:rFonts w:ascii="Times New Roman" w:hAnsi="Times New Roman" w:cs="Times New Roman"/>
        </w:rPr>
        <w:t>Paper documents with wet signatures are the norm.  Capturing consents electronically will require a trusted intermediary transcriptionist.</w:t>
      </w:r>
    </w:p>
    <w:p w14:paraId="518AA698" w14:textId="77777777" w:rsidR="00542051" w:rsidRDefault="00A2112E" w:rsidP="00542051">
      <w:pPr>
        <w:pStyle w:val="Heading3"/>
      </w:pPr>
      <w:r>
        <w:t>Meta-analysis</w:t>
      </w:r>
    </w:p>
    <w:p w14:paraId="4F25E551" w14:textId="77777777" w:rsidR="00A2112E" w:rsidRDefault="00A2112E" w:rsidP="00A2112E">
      <w:pPr>
        <w:rPr>
          <w:rFonts w:cs="Times New Roman"/>
        </w:rPr>
      </w:pPr>
      <w:r>
        <w:t xml:space="preserve">This research combines the results of more than one </w:t>
      </w:r>
      <w:r w:rsidR="00A04448">
        <w:t xml:space="preserve">research </w:t>
      </w:r>
      <w:r>
        <w:t>study to form a larger statistical sample.  The patient data may be de-identified</w:t>
      </w:r>
      <w:r w:rsidR="00A04448">
        <w:t xml:space="preserve">.  </w:t>
      </w:r>
      <w:r w:rsidR="00A04448" w:rsidRPr="00A2112E">
        <w:rPr>
          <w:rFonts w:cs="Times New Roman"/>
        </w:rPr>
        <w:t>Obtaining the subject patients’ informed consents</w:t>
      </w:r>
      <w:r w:rsidR="00A04448">
        <w:rPr>
          <w:rFonts w:cs="Times New Roman"/>
        </w:rPr>
        <w:t xml:space="preserve"> is presumed to have happened for each research study, and those consents will have included subsequent use in meta-analysis.</w:t>
      </w:r>
    </w:p>
    <w:p w14:paraId="7BDB34EE" w14:textId="77777777" w:rsidR="00A04448" w:rsidRPr="00A2112E" w:rsidRDefault="00A04448" w:rsidP="00A04448">
      <w:pPr>
        <w:rPr>
          <w:rFonts w:cs="Times New Roman"/>
        </w:rPr>
      </w:pPr>
      <w:r w:rsidRPr="00A2112E">
        <w:rPr>
          <w:rFonts w:cs="Times New Roman"/>
        </w:rPr>
        <w:t>Issues:</w:t>
      </w:r>
    </w:p>
    <w:p w14:paraId="238A8CDE" w14:textId="77777777" w:rsidR="00A04448" w:rsidRDefault="00A04448" w:rsidP="00183EF7">
      <w:pPr>
        <w:pStyle w:val="ListParagraph"/>
        <w:numPr>
          <w:ilvl w:val="0"/>
          <w:numId w:val="3"/>
        </w:numPr>
        <w:rPr>
          <w:rFonts w:ascii="Times New Roman" w:hAnsi="Times New Roman" w:cs="Times New Roman"/>
        </w:rPr>
      </w:pPr>
      <w:r w:rsidRPr="00A04448">
        <w:rPr>
          <w:rFonts w:ascii="Times New Roman" w:hAnsi="Times New Roman" w:cs="Times New Roman"/>
        </w:rPr>
        <w:t>Under current disciplines, following their consent, patients have no control over the use of their data from research. They are not subject to patients’ ownership rights.</w:t>
      </w:r>
      <w:r>
        <w:rPr>
          <w:rFonts w:ascii="Times New Roman" w:hAnsi="Times New Roman" w:cs="Times New Roman"/>
        </w:rPr>
        <w:t xml:space="preserve"> </w:t>
      </w:r>
      <w:r w:rsidRPr="00A04448">
        <w:rPr>
          <w:rFonts w:ascii="Times New Roman" w:hAnsi="Times New Roman" w:cs="Times New Roman"/>
        </w:rPr>
        <w:t>The data may be proprietary and subject to intellectual property protections.</w:t>
      </w:r>
    </w:p>
    <w:p w14:paraId="154AE49D" w14:textId="77777777" w:rsidR="00A04448" w:rsidRPr="00A04448" w:rsidRDefault="00A04448" w:rsidP="00183EF7">
      <w:pPr>
        <w:pStyle w:val="ListParagraph"/>
        <w:numPr>
          <w:ilvl w:val="0"/>
          <w:numId w:val="3"/>
        </w:numPr>
        <w:rPr>
          <w:rFonts w:ascii="Times New Roman" w:hAnsi="Times New Roman" w:cs="Times New Roman"/>
        </w:rPr>
      </w:pPr>
      <w:r w:rsidRPr="00A04448">
        <w:rPr>
          <w:rFonts w:ascii="Times New Roman" w:hAnsi="Times New Roman" w:cs="Times New Roman"/>
        </w:rPr>
        <w:t xml:space="preserve">Under current disciplines, </w:t>
      </w:r>
      <w:r>
        <w:rPr>
          <w:rFonts w:ascii="Times New Roman" w:hAnsi="Times New Roman" w:cs="Times New Roman"/>
        </w:rPr>
        <w:t>patients are not informed of the use of their data in meta-analysis.</w:t>
      </w:r>
    </w:p>
    <w:p w14:paraId="753104D8" w14:textId="77777777" w:rsidR="00A04448" w:rsidRPr="00A04448" w:rsidRDefault="00A04448" w:rsidP="000D409D">
      <w:pPr>
        <w:pStyle w:val="ListParagraph"/>
        <w:numPr>
          <w:ilvl w:val="0"/>
          <w:numId w:val="3"/>
        </w:numPr>
        <w:rPr>
          <w:rFonts w:ascii="Times New Roman" w:hAnsi="Times New Roman" w:cs="Times New Roman"/>
        </w:rPr>
      </w:pPr>
      <w:r w:rsidRPr="00A04448">
        <w:rPr>
          <w:rFonts w:ascii="Times New Roman" w:hAnsi="Times New Roman" w:cs="Times New Roman"/>
        </w:rPr>
        <w:t xml:space="preserve">Under current disciplines, </w:t>
      </w:r>
      <w:r>
        <w:rPr>
          <w:rFonts w:ascii="Times New Roman" w:hAnsi="Times New Roman" w:cs="Times New Roman"/>
        </w:rPr>
        <w:t>p</w:t>
      </w:r>
      <w:r w:rsidRPr="00A04448">
        <w:rPr>
          <w:rFonts w:ascii="Times New Roman" w:hAnsi="Times New Roman" w:cs="Times New Roman"/>
        </w:rPr>
        <w:t xml:space="preserve">atients have no access to the </w:t>
      </w:r>
      <w:r w:rsidRPr="00A04448">
        <w:rPr>
          <w:rFonts w:ascii="Times New Roman" w:hAnsi="Times New Roman" w:cs="Times New Roman"/>
        </w:rPr>
        <w:t>meta-analysis data</w:t>
      </w:r>
      <w:r w:rsidRPr="00A04448">
        <w:rPr>
          <w:rFonts w:ascii="Times New Roman" w:hAnsi="Times New Roman" w:cs="Times New Roman"/>
        </w:rPr>
        <w:t>.</w:t>
      </w:r>
    </w:p>
    <w:p w14:paraId="7493B9F1" w14:textId="77777777" w:rsidR="00542051" w:rsidRDefault="00A04448" w:rsidP="00542051">
      <w:pPr>
        <w:pStyle w:val="Heading3"/>
      </w:pPr>
      <w:r>
        <w:t>Biobank</w:t>
      </w:r>
    </w:p>
    <w:p w14:paraId="62514CE8" w14:textId="77777777" w:rsidR="00DD0168" w:rsidRPr="00A2112E" w:rsidRDefault="00A04448" w:rsidP="00DD0168">
      <w:pPr>
        <w:rPr>
          <w:rFonts w:cs="Times New Roman"/>
        </w:rPr>
      </w:pPr>
      <w:r>
        <w:t xml:space="preserve">This involves the collection, storage, and processing of </w:t>
      </w:r>
      <w:r w:rsidR="00DD0168">
        <w:t xml:space="preserve">human </w:t>
      </w:r>
      <w:r>
        <w:t>tissue samples</w:t>
      </w:r>
      <w:r w:rsidR="00DD0168">
        <w:t xml:space="preserve"> for research.  This includes genomic samples.  </w:t>
      </w:r>
      <w:r w:rsidR="00DD0168" w:rsidRPr="00A2112E">
        <w:rPr>
          <w:rFonts w:cs="Times New Roman"/>
        </w:rPr>
        <w:t xml:space="preserve">Obtaining the subject patients’ informed consents is essential to research.    </w:t>
      </w:r>
    </w:p>
    <w:p w14:paraId="640051F2" w14:textId="77777777" w:rsidR="00DD0168" w:rsidRDefault="00DD0168" w:rsidP="00DD0168">
      <w:pPr>
        <w:rPr>
          <w:rFonts w:cs="Times New Roman"/>
        </w:rPr>
      </w:pPr>
      <w:r w:rsidRPr="00A2112E">
        <w:rPr>
          <w:rFonts w:cs="Times New Roman"/>
        </w:rPr>
        <w:t xml:space="preserve">Each patient consents to participation.  It can be presumed that the consent is an umbrella that includes data collection in addition to </w:t>
      </w:r>
      <w:r>
        <w:rPr>
          <w:rFonts w:cs="Times New Roman"/>
        </w:rPr>
        <w:t>the tissue</w:t>
      </w:r>
      <w:r w:rsidRPr="00A2112E">
        <w:rPr>
          <w:rFonts w:cs="Times New Roman"/>
        </w:rPr>
        <w:t xml:space="preserve">. </w:t>
      </w:r>
      <w:r>
        <w:rPr>
          <w:rFonts w:cs="Times New Roman"/>
        </w:rPr>
        <w:t>Consents may include subsequent use of the data in meta-analysis.</w:t>
      </w:r>
      <w:r w:rsidRPr="00A2112E">
        <w:rPr>
          <w:rFonts w:cs="Times New Roman"/>
        </w:rPr>
        <w:t xml:space="preserve"> </w:t>
      </w:r>
    </w:p>
    <w:p w14:paraId="7B549FCE" w14:textId="77777777" w:rsidR="00DD0168" w:rsidRPr="00A2112E" w:rsidRDefault="00DD0168" w:rsidP="00DD0168">
      <w:pPr>
        <w:rPr>
          <w:rFonts w:cs="Times New Roman"/>
        </w:rPr>
      </w:pPr>
      <w:r w:rsidRPr="00A2112E">
        <w:rPr>
          <w:rFonts w:cs="Times New Roman"/>
        </w:rPr>
        <w:t>Separating the consent into its components – clinical acts and data collection -- can occur before or after the act of consent.</w:t>
      </w:r>
      <w:r>
        <w:rPr>
          <w:rFonts w:cs="Times New Roman"/>
        </w:rPr>
        <w:t xml:space="preserve">  </w:t>
      </w:r>
    </w:p>
    <w:p w14:paraId="78839B71" w14:textId="77777777" w:rsidR="00DD0168" w:rsidRPr="00A2112E" w:rsidRDefault="00DD0168" w:rsidP="00DD0168">
      <w:pPr>
        <w:rPr>
          <w:rFonts w:cs="Times New Roman"/>
        </w:rPr>
      </w:pPr>
      <w:r w:rsidRPr="00A2112E">
        <w:rPr>
          <w:rFonts w:cs="Times New Roman"/>
        </w:rPr>
        <w:t>Issues:</w:t>
      </w:r>
    </w:p>
    <w:p w14:paraId="6BEF36C2" w14:textId="77777777" w:rsidR="00DD0168" w:rsidRPr="00A2112E" w:rsidRDefault="00DD0168" w:rsidP="00DD0168">
      <w:pPr>
        <w:pStyle w:val="ListParagraph"/>
        <w:numPr>
          <w:ilvl w:val="0"/>
          <w:numId w:val="3"/>
        </w:numPr>
        <w:rPr>
          <w:rFonts w:ascii="Times New Roman" w:hAnsi="Times New Roman" w:cs="Times New Roman"/>
        </w:rPr>
      </w:pPr>
      <w:r w:rsidRPr="00A2112E">
        <w:rPr>
          <w:rFonts w:ascii="Times New Roman" w:hAnsi="Times New Roman" w:cs="Times New Roman"/>
        </w:rPr>
        <w:t xml:space="preserve">Under current disciplines, following their consent, patients have no control over the use of their </w:t>
      </w:r>
      <w:r>
        <w:rPr>
          <w:rFonts w:ascii="Times New Roman" w:hAnsi="Times New Roman" w:cs="Times New Roman"/>
        </w:rPr>
        <w:t xml:space="preserve">tissue and the associated </w:t>
      </w:r>
      <w:r w:rsidRPr="00A2112E">
        <w:rPr>
          <w:rFonts w:ascii="Times New Roman" w:hAnsi="Times New Roman" w:cs="Times New Roman"/>
        </w:rPr>
        <w:t>research</w:t>
      </w:r>
      <w:r>
        <w:rPr>
          <w:rFonts w:ascii="Times New Roman" w:hAnsi="Times New Roman" w:cs="Times New Roman"/>
        </w:rPr>
        <w:t xml:space="preserve"> data</w:t>
      </w:r>
      <w:r w:rsidRPr="00A2112E">
        <w:rPr>
          <w:rFonts w:ascii="Times New Roman" w:hAnsi="Times New Roman" w:cs="Times New Roman"/>
        </w:rPr>
        <w:t xml:space="preserve">.  The data </w:t>
      </w:r>
      <w:r>
        <w:rPr>
          <w:rFonts w:ascii="Times New Roman" w:hAnsi="Times New Roman" w:cs="Times New Roman"/>
        </w:rPr>
        <w:t>may be</w:t>
      </w:r>
      <w:r w:rsidRPr="00A2112E">
        <w:rPr>
          <w:rFonts w:ascii="Times New Roman" w:hAnsi="Times New Roman" w:cs="Times New Roman"/>
        </w:rPr>
        <w:t xml:space="preserve"> proprietary and subject to intellectual property protections.</w:t>
      </w:r>
      <w:r>
        <w:rPr>
          <w:rFonts w:ascii="Times New Roman" w:hAnsi="Times New Roman" w:cs="Times New Roman"/>
        </w:rPr>
        <w:t xml:space="preserve"> They are not subject to patients’ ownership rights.</w:t>
      </w:r>
    </w:p>
    <w:p w14:paraId="5314A24B" w14:textId="77777777" w:rsidR="00DD0168" w:rsidRDefault="00DD0168" w:rsidP="00DD0168">
      <w:pPr>
        <w:pStyle w:val="ListParagraph"/>
        <w:numPr>
          <w:ilvl w:val="0"/>
          <w:numId w:val="3"/>
        </w:numPr>
        <w:rPr>
          <w:rFonts w:ascii="Times New Roman" w:hAnsi="Times New Roman" w:cs="Times New Roman"/>
        </w:rPr>
      </w:pPr>
      <w:r>
        <w:rPr>
          <w:rFonts w:ascii="Times New Roman" w:hAnsi="Times New Roman" w:cs="Times New Roman"/>
        </w:rPr>
        <w:t>There may be multiple research studies done using the samples, sometimes over a period of several years</w:t>
      </w:r>
    </w:p>
    <w:p w14:paraId="59A2EDC9" w14:textId="77777777" w:rsidR="00DD0168" w:rsidRDefault="00DD0168" w:rsidP="00DD0168">
      <w:pPr>
        <w:pStyle w:val="ListParagraph"/>
        <w:numPr>
          <w:ilvl w:val="0"/>
          <w:numId w:val="3"/>
        </w:numPr>
        <w:rPr>
          <w:rFonts w:ascii="Times New Roman" w:hAnsi="Times New Roman" w:cs="Times New Roman"/>
        </w:rPr>
      </w:pPr>
      <w:r>
        <w:rPr>
          <w:rFonts w:ascii="Times New Roman" w:hAnsi="Times New Roman" w:cs="Times New Roman"/>
        </w:rPr>
        <w:lastRenderedPageBreak/>
        <w:t>P</w:t>
      </w:r>
      <w:r w:rsidRPr="00A2112E">
        <w:rPr>
          <w:rFonts w:ascii="Times New Roman" w:hAnsi="Times New Roman" w:cs="Times New Roman"/>
        </w:rPr>
        <w:t xml:space="preserve">atients have no access to the </w:t>
      </w:r>
      <w:r>
        <w:rPr>
          <w:rFonts w:ascii="Times New Roman" w:hAnsi="Times New Roman" w:cs="Times New Roman"/>
        </w:rPr>
        <w:t xml:space="preserve">research </w:t>
      </w:r>
      <w:r w:rsidRPr="00A2112E">
        <w:rPr>
          <w:rFonts w:ascii="Times New Roman" w:hAnsi="Times New Roman" w:cs="Times New Roman"/>
        </w:rPr>
        <w:t>data</w:t>
      </w:r>
      <w:r>
        <w:rPr>
          <w:rFonts w:ascii="Times New Roman" w:hAnsi="Times New Roman" w:cs="Times New Roman"/>
        </w:rPr>
        <w:t>.</w:t>
      </w:r>
    </w:p>
    <w:p w14:paraId="5A89305A" w14:textId="77777777" w:rsidR="00DD0168" w:rsidRPr="00A2112E" w:rsidRDefault="00DD0168" w:rsidP="00DD0168">
      <w:pPr>
        <w:pStyle w:val="ListParagraph"/>
        <w:numPr>
          <w:ilvl w:val="0"/>
          <w:numId w:val="3"/>
        </w:numPr>
        <w:rPr>
          <w:rFonts w:ascii="Times New Roman" w:hAnsi="Times New Roman" w:cs="Times New Roman"/>
        </w:rPr>
      </w:pPr>
      <w:r w:rsidRPr="00A2112E">
        <w:rPr>
          <w:rFonts w:ascii="Times New Roman" w:hAnsi="Times New Roman" w:cs="Times New Roman"/>
        </w:rPr>
        <w:t>Institutional review boards (IRBs) control the policies, including conformance with legal, regulatory, and ethical requirements.  The patients’ may be granted some rights by IRBs, and that language will be included in the consent documents.</w:t>
      </w:r>
    </w:p>
    <w:p w14:paraId="5C10E1F5" w14:textId="77777777" w:rsidR="007436C7" w:rsidRDefault="00DD0168" w:rsidP="00285FB7">
      <w:pPr>
        <w:pStyle w:val="ListParagraph"/>
        <w:numPr>
          <w:ilvl w:val="0"/>
          <w:numId w:val="3"/>
        </w:numPr>
      </w:pPr>
      <w:r w:rsidRPr="00DD0168">
        <w:rPr>
          <w:rFonts w:ascii="Times New Roman" w:hAnsi="Times New Roman" w:cs="Times New Roman"/>
        </w:rPr>
        <w:t>Paper documents with wet signatures are the norm.  Capturing consents electronically will require a trusted intermediary transcriptionist.</w:t>
      </w:r>
    </w:p>
    <w:sectPr w:rsidR="007436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A0002AAF" w:usb1="4000004A" w:usb2="00000000"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F17540"/>
    <w:multiLevelType w:val="hybridMultilevel"/>
    <w:tmpl w:val="B9300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6421ADE"/>
    <w:multiLevelType w:val="hybridMultilevel"/>
    <w:tmpl w:val="C05ACF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051"/>
    <w:rsid w:val="002B30FF"/>
    <w:rsid w:val="00542051"/>
    <w:rsid w:val="007436C7"/>
    <w:rsid w:val="00A04448"/>
    <w:rsid w:val="00A2112E"/>
    <w:rsid w:val="00C636F5"/>
    <w:rsid w:val="00DD0168"/>
    <w:rsid w:val="00F75F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EB1F7"/>
  <w15:chartTrackingRefBased/>
  <w15:docId w15:val="{388D0E35-98E0-4924-AD0E-BB35056FF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D0168"/>
    <w:pPr>
      <w:spacing w:after="240" w:line="240" w:lineRule="auto"/>
    </w:pPr>
    <w:rPr>
      <w:rFonts w:ascii="Times New Roman" w:hAnsi="Times New Roman"/>
      <w:sz w:val="24"/>
    </w:rPr>
  </w:style>
  <w:style w:type="paragraph" w:styleId="Heading1">
    <w:name w:val="heading 1"/>
    <w:basedOn w:val="Normal"/>
    <w:next w:val="Normal"/>
    <w:link w:val="Heading1Char"/>
    <w:uiPriority w:val="9"/>
    <w:qFormat/>
    <w:rsid w:val="00F75F5D"/>
    <w:pPr>
      <w:keepNext/>
      <w:keepLines/>
      <w:spacing w:before="240" w:after="0"/>
      <w:outlineLvl w:val="0"/>
    </w:pPr>
    <w:rPr>
      <w:rFonts w:eastAsiaTheme="majorEastAsia" w:cs="Helvetica"/>
      <w:b/>
      <w:sz w:val="32"/>
      <w:szCs w:val="32"/>
    </w:rPr>
  </w:style>
  <w:style w:type="paragraph" w:styleId="Heading2">
    <w:name w:val="heading 2"/>
    <w:basedOn w:val="Normal"/>
    <w:next w:val="Normal"/>
    <w:link w:val="Heading2Char"/>
    <w:uiPriority w:val="9"/>
    <w:unhideWhenUsed/>
    <w:qFormat/>
    <w:rsid w:val="00542051"/>
    <w:pPr>
      <w:keepNext/>
      <w:keepLines/>
      <w:outlineLvl w:val="1"/>
    </w:pPr>
    <w:rPr>
      <w:rFonts w:eastAsiaTheme="majorEastAsia" w:cs="Helvetica"/>
      <w:b/>
      <w:sz w:val="28"/>
      <w:szCs w:val="28"/>
    </w:rPr>
  </w:style>
  <w:style w:type="paragraph" w:styleId="Heading3">
    <w:name w:val="heading 3"/>
    <w:basedOn w:val="Normal"/>
    <w:next w:val="Normal"/>
    <w:link w:val="Heading3Char"/>
    <w:uiPriority w:val="9"/>
    <w:unhideWhenUsed/>
    <w:qFormat/>
    <w:rsid w:val="00542051"/>
    <w:pPr>
      <w:keepNext/>
      <w:keepLines/>
      <w:outlineLvl w:val="2"/>
    </w:pPr>
    <w:rPr>
      <w:rFonts w:eastAsiaTheme="majorEastAsia" w:cstheme="majorBidi"/>
      <w:b/>
      <w:szCs w:val="24"/>
    </w:rPr>
  </w:style>
  <w:style w:type="paragraph" w:styleId="Heading4">
    <w:name w:val="heading 4"/>
    <w:basedOn w:val="Normal"/>
    <w:next w:val="Normal"/>
    <w:link w:val="Heading4Char"/>
    <w:uiPriority w:val="9"/>
    <w:semiHidden/>
    <w:unhideWhenUsed/>
    <w:qFormat/>
    <w:rsid w:val="00F75F5D"/>
    <w:pPr>
      <w:keepNext/>
      <w:keepLines/>
      <w:spacing w:before="40" w:after="0"/>
      <w:outlineLvl w:val="3"/>
    </w:pPr>
    <w:rPr>
      <w:rFonts w:eastAsiaTheme="majorEastAsia" w:cstheme="majorBidi"/>
      <w:iCs/>
      <w:u w:val="single"/>
    </w:rPr>
  </w:style>
  <w:style w:type="paragraph" w:styleId="Heading5">
    <w:name w:val="heading 5"/>
    <w:basedOn w:val="Normal"/>
    <w:next w:val="Normal"/>
    <w:link w:val="Heading5Char"/>
    <w:uiPriority w:val="9"/>
    <w:semiHidden/>
    <w:unhideWhenUsed/>
    <w:qFormat/>
    <w:rsid w:val="002B30FF"/>
    <w:pPr>
      <w:keepNext/>
      <w:keepLines/>
      <w:spacing w:before="40" w:after="0"/>
      <w:outlineLvl w:val="4"/>
    </w:pPr>
    <w:rPr>
      <w:rFonts w:ascii="Helvetica" w:eastAsiaTheme="majorEastAsia" w:hAnsi="Helvetic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75F5D"/>
    <w:pPr>
      <w:spacing w:after="0" w:line="240" w:lineRule="auto"/>
    </w:pPr>
    <w:rPr>
      <w:rFonts w:ascii="Times New Roman" w:hAnsi="Times New Roman"/>
      <w:sz w:val="24"/>
    </w:rPr>
  </w:style>
  <w:style w:type="character" w:customStyle="1" w:styleId="Heading1Char">
    <w:name w:val="Heading 1 Char"/>
    <w:basedOn w:val="DefaultParagraphFont"/>
    <w:link w:val="Heading1"/>
    <w:uiPriority w:val="9"/>
    <w:rsid w:val="00F75F5D"/>
    <w:rPr>
      <w:rFonts w:ascii="Times New Roman" w:eastAsiaTheme="majorEastAsia" w:hAnsi="Times New Roman" w:cs="Helvetica"/>
      <w:b/>
      <w:sz w:val="32"/>
      <w:szCs w:val="32"/>
    </w:rPr>
  </w:style>
  <w:style w:type="character" w:customStyle="1" w:styleId="Heading3Char">
    <w:name w:val="Heading 3 Char"/>
    <w:basedOn w:val="DefaultParagraphFont"/>
    <w:link w:val="Heading3"/>
    <w:uiPriority w:val="9"/>
    <w:rsid w:val="00542051"/>
    <w:rPr>
      <w:rFonts w:ascii="Times New Roman" w:eastAsiaTheme="majorEastAsia" w:hAnsi="Times New Roman" w:cstheme="majorBidi"/>
      <w:b/>
      <w:sz w:val="24"/>
      <w:szCs w:val="24"/>
    </w:rPr>
  </w:style>
  <w:style w:type="character" w:customStyle="1" w:styleId="Heading2Char">
    <w:name w:val="Heading 2 Char"/>
    <w:basedOn w:val="DefaultParagraphFont"/>
    <w:link w:val="Heading2"/>
    <w:uiPriority w:val="9"/>
    <w:rsid w:val="00542051"/>
    <w:rPr>
      <w:rFonts w:ascii="Times New Roman" w:eastAsiaTheme="majorEastAsia" w:hAnsi="Times New Roman" w:cs="Helvetica"/>
      <w:b/>
      <w:sz w:val="28"/>
      <w:szCs w:val="28"/>
    </w:rPr>
  </w:style>
  <w:style w:type="character" w:customStyle="1" w:styleId="Heading5Char">
    <w:name w:val="Heading 5 Char"/>
    <w:basedOn w:val="DefaultParagraphFont"/>
    <w:link w:val="Heading5"/>
    <w:uiPriority w:val="9"/>
    <w:semiHidden/>
    <w:rsid w:val="002B30FF"/>
    <w:rPr>
      <w:rFonts w:ascii="Helvetica" w:eastAsiaTheme="majorEastAsia" w:hAnsi="Helvetica" w:cstheme="majorBidi"/>
      <w:i/>
      <w:sz w:val="24"/>
    </w:rPr>
  </w:style>
  <w:style w:type="paragraph" w:styleId="Title">
    <w:name w:val="Title"/>
    <w:basedOn w:val="Normal"/>
    <w:next w:val="Normal"/>
    <w:link w:val="TitleChar"/>
    <w:uiPriority w:val="10"/>
    <w:qFormat/>
    <w:rsid w:val="00F75F5D"/>
    <w:pPr>
      <w:spacing w:after="0" w:line="360" w:lineRule="auto"/>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F75F5D"/>
    <w:rPr>
      <w:rFonts w:ascii="Times New Roman" w:eastAsiaTheme="majorEastAsia" w:hAnsi="Times New Roman" w:cstheme="majorBidi"/>
      <w:b/>
      <w:spacing w:val="-10"/>
      <w:kern w:val="28"/>
      <w:sz w:val="56"/>
      <w:szCs w:val="56"/>
    </w:rPr>
  </w:style>
  <w:style w:type="paragraph" w:styleId="Subtitle">
    <w:name w:val="Subtitle"/>
    <w:basedOn w:val="Normal"/>
    <w:next w:val="Normal"/>
    <w:link w:val="SubtitleChar"/>
    <w:uiPriority w:val="11"/>
    <w:qFormat/>
    <w:rsid w:val="002B30FF"/>
    <w:pPr>
      <w:numPr>
        <w:ilvl w:val="1"/>
      </w:numPr>
      <w:spacing w:after="160"/>
    </w:pPr>
    <w:rPr>
      <w:rFonts w:eastAsiaTheme="minorEastAsia"/>
      <w:color w:val="5A5A5A" w:themeColor="text1" w:themeTint="A5"/>
      <w:spacing w:val="15"/>
      <w:sz w:val="22"/>
    </w:rPr>
  </w:style>
  <w:style w:type="character" w:customStyle="1" w:styleId="SubtitleChar">
    <w:name w:val="Subtitle Char"/>
    <w:basedOn w:val="DefaultParagraphFont"/>
    <w:link w:val="Subtitle"/>
    <w:uiPriority w:val="11"/>
    <w:rsid w:val="002B30FF"/>
    <w:rPr>
      <w:rFonts w:ascii="Times New Roman" w:eastAsiaTheme="minorEastAsia" w:hAnsi="Times New Roman"/>
      <w:color w:val="5A5A5A" w:themeColor="text1" w:themeTint="A5"/>
      <w:spacing w:val="15"/>
    </w:rPr>
  </w:style>
  <w:style w:type="character" w:styleId="SubtleEmphasis">
    <w:name w:val="Subtle Emphasis"/>
    <w:basedOn w:val="DefaultParagraphFont"/>
    <w:uiPriority w:val="19"/>
    <w:qFormat/>
    <w:rsid w:val="002B30FF"/>
    <w:rPr>
      <w:rFonts w:ascii="Times New Roman" w:hAnsi="Times New Roman"/>
      <w:i/>
      <w:iCs/>
      <w:color w:val="404040" w:themeColor="text1" w:themeTint="BF"/>
    </w:rPr>
  </w:style>
  <w:style w:type="character" w:styleId="Emphasis">
    <w:name w:val="Emphasis"/>
    <w:basedOn w:val="DefaultParagraphFont"/>
    <w:uiPriority w:val="20"/>
    <w:qFormat/>
    <w:rsid w:val="002B30FF"/>
    <w:rPr>
      <w:rFonts w:ascii="Times New Roman" w:hAnsi="Times New Roman"/>
      <w:i/>
      <w:iCs/>
      <w:sz w:val="24"/>
    </w:rPr>
  </w:style>
  <w:style w:type="character" w:styleId="BookTitle">
    <w:name w:val="Book Title"/>
    <w:uiPriority w:val="33"/>
    <w:qFormat/>
    <w:rsid w:val="002B30FF"/>
    <w:rPr>
      <w:rFonts w:ascii="Times New Roman" w:hAnsi="Times New Roman"/>
      <w:i/>
      <w:sz w:val="24"/>
    </w:rPr>
  </w:style>
  <w:style w:type="character" w:customStyle="1" w:styleId="Heading4Char">
    <w:name w:val="Heading 4 Char"/>
    <w:basedOn w:val="DefaultParagraphFont"/>
    <w:link w:val="Heading4"/>
    <w:uiPriority w:val="9"/>
    <w:semiHidden/>
    <w:rsid w:val="00F75F5D"/>
    <w:rPr>
      <w:rFonts w:ascii="Times New Roman" w:eastAsiaTheme="majorEastAsia" w:hAnsi="Times New Roman" w:cstheme="majorBidi"/>
      <w:iCs/>
      <w:sz w:val="24"/>
      <w:u w:val="single"/>
    </w:rPr>
  </w:style>
  <w:style w:type="paragraph" w:styleId="ListParagraph">
    <w:name w:val="List Paragraph"/>
    <w:basedOn w:val="Normal"/>
    <w:uiPriority w:val="34"/>
    <w:qFormat/>
    <w:rsid w:val="00542051"/>
    <w:pPr>
      <w:spacing w:after="160" w:line="256" w:lineRule="auto"/>
      <w:ind w:left="720"/>
      <w:contextualSpacing/>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6596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3</Pages>
  <Words>798</Words>
  <Characters>4553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 Marshall</dc:creator>
  <cp:keywords/>
  <dc:description/>
  <cp:lastModifiedBy>Glen Marshall</cp:lastModifiedBy>
  <cp:revision>1</cp:revision>
  <dcterms:created xsi:type="dcterms:W3CDTF">2017-01-20T14:16:00Z</dcterms:created>
  <dcterms:modified xsi:type="dcterms:W3CDTF">2017-01-20T15:06:00Z</dcterms:modified>
</cp:coreProperties>
</file>