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Title"/>
        <w:rPr/>
      </w:pPr>
      <w:bookmarkStart w:id="0" w:colFirst="0" w:name="h.b487bph2egsy" w:colLast="0"/>
      <w:bookmarkEnd w:id="0"/>
      <w:r w:rsidRPr="00000000" w:rsidR="00000000" w:rsidDel="00000000">
        <w:rPr>
          <w:rtl w:val="0"/>
        </w:rPr>
        <w:t xml:space="preserve">OpenID® TRADEMARK AND SERVICE MARK LICENSE</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OpenID Foundation (“OIDF”) grants you the right to use OIDF Trademarks and Service Marks (collectively the "trademarks"), provided that you agree to the following terms and conditions.</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pStyle w:val="Heading1"/>
      </w:pPr>
      <w:bookmarkStart w:id="1" w:colFirst="0" w:name="h.u8o8t138mie9" w:colLast="0"/>
      <w:bookmarkEnd w:id="1"/>
      <w:r w:rsidRPr="00000000" w:rsidR="00000000" w:rsidDel="00000000">
        <w:rPr>
          <w:rtl w:val="0"/>
        </w:rPr>
        <w:t xml:space="preserve">Terms and Conditions</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pStyle w:val="Heading2"/>
      </w:pPr>
      <w:bookmarkStart w:id="2" w:colFirst="0" w:name="h.w7ey1bntikb" w:colLast="0"/>
      <w:bookmarkEnd w:id="2"/>
      <w:r w:rsidRPr="00000000" w:rsidR="00000000" w:rsidDel="00000000">
        <w:rPr>
          <w:rtl w:val="0"/>
        </w:rPr>
        <w:t xml:space="preserve">1. Indication of the owner of the trademarks</w:t>
      </w:r>
    </w:p>
    <w:p w:rsidP="00000000" w:rsidRPr="00000000" w:rsidR="00000000" w:rsidDel="00000000" w:rsidRDefault="00000000">
      <w:pPr/>
      <w:r w:rsidRPr="00000000" w:rsidR="00000000" w:rsidDel="00000000">
        <w:rPr>
          <w:rtl w:val="0"/>
        </w:rPr>
        <w:t xml:space="preserve">The owner of OIDF marks must be clearly identified as the "OpenID Foundation". For example, "OpenID® is a trademark (registered in numerous countries) of the OpenID Foundation."</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pStyle w:val="Heading2"/>
      </w:pPr>
      <w:bookmarkStart w:id="3" w:colFirst="0" w:name="h.u8p31a8ocidg" w:colLast="0"/>
      <w:bookmarkEnd w:id="3"/>
      <w:r w:rsidRPr="00000000" w:rsidR="00000000" w:rsidDel="00000000">
        <w:rPr>
          <w:rtl w:val="0"/>
        </w:rPr>
        <w:t xml:space="preserve">2. Acceptable uses of trademarks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OIDF trademarks must be used only to</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numPr>
          <w:ilvl w:val="1"/>
          <w:numId w:val="1"/>
        </w:numPr>
        <w:ind w:left="1440" w:hanging="359"/>
        <w:rPr/>
      </w:pPr>
      <w:r w:rsidRPr="00000000" w:rsidR="00000000" w:rsidDel="00000000">
        <w:rPr>
          <w:rtl w:val="0"/>
        </w:rPr>
        <w:t xml:space="preserve">describe or reference OIDF specifications, documents, software, or other products listed at the OIDF web sites (collectively, "OIDF Products"), or</w:t>
      </w:r>
    </w:p>
    <w:p w:rsidP="00000000" w:rsidRPr="00000000" w:rsidR="00000000" w:rsidDel="00000000" w:rsidRDefault="00000000">
      <w:pPr>
        <w:numPr>
          <w:ilvl w:val="1"/>
          <w:numId w:val="1"/>
        </w:numPr>
        <w:ind w:left="1440" w:hanging="359"/>
        <w:rPr/>
      </w:pPr>
      <w:r w:rsidRPr="00000000" w:rsidR="00000000" w:rsidDel="00000000">
        <w:rPr>
          <w:rtl w:val="0"/>
        </w:rPr>
        <w:t xml:space="preserve">describe non-OIDF products that implement the required features and operations of OIDF Products. Required features and operations are defined within specifications, often in accordance with [RFC2119]. Representations that products or services comply with OIDF specifications must clearly indicate that the representations are made by you, the licensee, and not by the OIDF.</w:t>
      </w:r>
    </w:p>
    <w:p w:rsidP="00000000" w:rsidRPr="00000000" w:rsidR="00000000" w:rsidDel="00000000" w:rsidRDefault="00000000">
      <w:pPr>
        <w:numPr>
          <w:ilvl w:val="1"/>
          <w:numId w:val="1"/>
        </w:numPr>
        <w:ind w:left="1440" w:hanging="359"/>
        <w:rPr/>
      </w:pPr>
      <w:r w:rsidRPr="00000000" w:rsidR="00000000" w:rsidDel="00000000">
        <w:rPr>
          <w:rtl w:val="0"/>
        </w:rPr>
        <w:t xml:space="preserve">OIDF Trademarks must only be used in a way that accurately reflects the STATUS associated with the OIDF Products. The STATUS of an OIDF document describes the context in which the product was developed including the publication date, intellectual property disclosures (e.g., copyright or patent terms), location (URI), its publication level (Draft, Implementer’s Draft, Final Specification, Note, Whitepaper), and future expectations regarding the OIDF Product.</w:t>
      </w:r>
    </w:p>
    <w:p w:rsidP="00000000" w:rsidRPr="00000000" w:rsidR="00000000" w:rsidDel="00000000" w:rsidRDefault="00000000">
      <w:pPr>
        <w:numPr>
          <w:ilvl w:val="1"/>
          <w:numId w:val="1"/>
        </w:numPr>
        <w:ind w:left="1440" w:hanging="359"/>
        <w:rPr/>
      </w:pPr>
      <w:r w:rsidRPr="00000000" w:rsidR="00000000" w:rsidDel="00000000">
        <w:rPr>
          <w:rtl w:val="0"/>
        </w:rPr>
        <w:t xml:space="preserve">Marks may not be used to indicate any kind of endorsement by the OIDF, official status with respect to the OIDF, or any kind of relationship with the OIDF aside from a representation that the above requirements (1-3) have been met.</w:t>
      </w:r>
    </w:p>
    <w:p w:rsidP="00000000" w:rsidRPr="00000000" w:rsidR="00000000" w:rsidDel="00000000" w:rsidRDefault="00000000">
      <w:pPr>
        <w:numPr>
          <w:ilvl w:val="1"/>
          <w:numId w:val="1"/>
        </w:numPr>
        <w:ind w:left="1440" w:hanging="359"/>
        <w:rPr/>
      </w:pPr>
      <w:r w:rsidRPr="00000000" w:rsidR="00000000" w:rsidDel="00000000">
        <w:rPr>
          <w:rtl w:val="0"/>
        </w:rPr>
        <w:t xml:space="preserve">OIDF will audit the use of the OIDF trademarks to determine compliance with these terms and conditions.</w:t>
      </w:r>
    </w:p>
    <w:p w:rsidP="00000000" w:rsidRPr="00000000" w:rsidR="00000000" w:rsidDel="00000000" w:rsidRDefault="00000000">
      <w:pPr>
        <w:numPr>
          <w:ilvl w:val="1"/>
          <w:numId w:val="1"/>
        </w:numPr>
        <w:ind w:left="1440" w:hanging="359"/>
        <w:rPr/>
      </w:pPr>
      <w:r w:rsidRPr="00000000" w:rsidR="00000000" w:rsidDel="00000000">
        <w:rPr>
          <w:rtl w:val="0"/>
        </w:rPr>
        <w:t xml:space="preserve">IN NO EVENT SHALL THE OIDF OR ANY TRUSTEES, DIRECTORS, OFFICERS OR EMPLOYEES BE LIABLE FOR INCIDENTAL OR CONSEQUENTIAL DAMAGES OF ANY KIND ARISING FROM OR RELATED TO USE OF OIDF TRADEMARKS, INCLUDING ECONOMIC DAMAGES AND LOST PROFITS, REGARDLESS OF WHETHER OIDF SHALL BE ADVISED, SHALL HAVE OTHER REASON TO KNOW, OR IN FACT SHALL KNOW OF THE POSSIBILITY OF THE FOREGOING.</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No right to create modifications or derivatives of OIDF Trademarks is granted pursuant to this license.</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Pr/>
      </w:pPr>
      <w:r w:rsidRPr="00000000" w:rsidR="00000000" w:rsidDel="00000000">
        <w:rPr>
          <w:rtl w:val="0"/>
        </w:rPr>
        <w:t xml:space="preserve">Note: Certain OIDF trademarks or icons may have additional information about their use not found within this license. Please refer to [insert link]OpenID Logo and Icon Usage[/link]. Questions about this license should be sent to help@openid.net.</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pStyle w:val="Heading1"/>
        <w:rPr/>
      </w:pPr>
      <w:bookmarkStart w:id="4" w:colFirst="0" w:name="h.ac4bjpfe00kx" w:colLast="0"/>
      <w:bookmarkEnd w:id="4"/>
      <w:r w:rsidRPr="00000000" w:rsidR="00000000" w:rsidDel="00000000">
        <w:rPr>
          <w:rtl w:val="0"/>
        </w:rPr>
        <w:t xml:space="preserve">References</w:t>
      </w:r>
    </w:p>
    <w:p w:rsidP="00000000" w:rsidRPr="00000000" w:rsidR="00000000" w:rsidDel="00000000" w:rsidRDefault="00000000">
      <w:pPr>
        <w:rPr/>
      </w:pPr>
      <w:r w:rsidRPr="00000000" w:rsidR="00000000" w:rsidDel="00000000">
        <w:rPr>
          <w:rtl w:val="0"/>
        </w:rPr>
        <w:t xml:space="preserve">[RFC2119]</w:t>
      </w:r>
    </w:p>
    <w:p w:rsidP="00000000" w:rsidRPr="00000000" w:rsidR="00000000" w:rsidDel="00000000" w:rsidRDefault="00000000">
      <w:pPr>
        <w:rPr/>
      </w:pPr>
      <w:r w:rsidRPr="00000000" w:rsidR="00000000" w:rsidDel="00000000">
        <w:rPr>
          <w:rtl w:val="0"/>
        </w:rPr>
        <w:t xml:space="preserve">S. Bradner. RFC2119: Key words for use in RFCs to Indicate Requirement Levels.IETF Network Working Group. BCP: 14 March 1997. Category: Best Current Practice</w:t>
      </w:r>
    </w:p>
    <w:p w:rsidP="00000000" w:rsidRPr="00000000" w:rsidR="00000000" w:rsidDel="00000000" w:rsidRDefault="00000000">
      <w:pPr>
        <w:rPr/>
      </w:pPr>
      <w:r w:rsidRPr="00000000" w:rsidR="00000000" w:rsidDel="00000000">
        <w:rPr>
          <w:rtl w:val="0"/>
        </w:rPr>
      </w:r>
    </w:p>
    <w:p w:rsidP="00000000" w:rsidRPr="00000000" w:rsidR="00000000" w:rsidDel="00000000" w:rsidRDefault="00000000">
      <w:pPr/>
      <w:r w:rsidRPr="00000000" w:rsidR="00000000" w:rsidDel="00000000">
        <w:rPr>
          <w:rtl w:val="0"/>
        </w:rPr>
      </w:r>
    </w:p>
    <w:sectPr>
      <w:pgSz w:w="11906" w:h="16838"/>
      <w:pgMar w:left="720" w:right="72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OpenID® TRADEMARK AND SERVICE MARK LICENSE.docx</dc:title>
</cp:coreProperties>
</file>