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CC18E6" w14:textId="77777777" w:rsidR="003F261F" w:rsidRPr="0075396A" w:rsidRDefault="003F261F" w:rsidP="001652F9">
      <w:pPr>
        <w:pStyle w:val="Titre1"/>
        <w:rPr>
          <w:rFonts w:eastAsia="Times New Roman"/>
          <w:lang w:val="en-US" w:eastAsia="fr-FR"/>
        </w:rPr>
      </w:pPr>
      <w:r w:rsidRPr="0075396A">
        <w:rPr>
          <w:rFonts w:eastAsia="Times New Roman"/>
          <w:lang w:val="en-US" w:eastAsia="fr-FR"/>
        </w:rPr>
        <w:t>What is the PCR?</w:t>
      </w:r>
    </w:p>
    <w:p w14:paraId="1CE40773" w14:textId="77777777" w:rsidR="00B4244D" w:rsidRDefault="00B4244D" w:rsidP="00B4244D">
      <w:pPr>
        <w:pStyle w:val="Titre4"/>
        <w:rPr>
          <w:rFonts w:eastAsiaTheme="minorHAnsi"/>
          <w:lang w:val="en-GB" w:eastAsia="fr-FR"/>
        </w:rPr>
      </w:pPr>
      <w:r>
        <w:rPr>
          <w:rFonts w:eastAsiaTheme="minorHAnsi"/>
          <w:lang w:val="en-GB" w:eastAsia="fr-FR"/>
        </w:rPr>
        <w:t>Common usage</w:t>
      </w:r>
    </w:p>
    <w:p w14:paraId="72FE7CB9" w14:textId="5AEF4B53" w:rsidR="003040AA" w:rsidRDefault="00E908C3" w:rsidP="003040AA">
      <w:pPr>
        <w:pStyle w:val="Titre1"/>
        <w:rPr>
          <w:rFonts w:asciiTheme="minorHAnsi" w:eastAsiaTheme="minorHAnsi" w:hAnsiTheme="minorHAnsi" w:cstheme="minorBidi"/>
          <w:color w:val="auto"/>
          <w:sz w:val="22"/>
          <w:szCs w:val="22"/>
          <w:lang w:val="en-GB" w:eastAsia="fr-FR"/>
        </w:rPr>
      </w:pPr>
      <w:r w:rsidRPr="00E908C3">
        <w:rPr>
          <w:rFonts w:asciiTheme="minorHAnsi" w:eastAsiaTheme="minorHAnsi" w:hAnsiTheme="minorHAnsi" w:cstheme="minorBidi"/>
          <w:color w:val="auto"/>
          <w:sz w:val="22"/>
          <w:szCs w:val="22"/>
          <w:lang w:val="en-GB" w:eastAsia="fr-FR"/>
        </w:rPr>
        <w:t>Pseudonymous Customer Reference,</w:t>
      </w:r>
      <w:r>
        <w:rPr>
          <w:rFonts w:asciiTheme="minorHAnsi" w:eastAsiaTheme="minorHAnsi" w:hAnsiTheme="minorHAnsi" w:cstheme="minorBidi"/>
          <w:color w:val="auto"/>
          <w:sz w:val="22"/>
          <w:szCs w:val="22"/>
          <w:lang w:val="en-GB" w:eastAsia="fr-FR"/>
        </w:rPr>
        <w:t xml:space="preserve"> or PCR, is an identifier</w:t>
      </w:r>
      <w:r w:rsidR="00342041">
        <w:rPr>
          <w:rFonts w:asciiTheme="minorHAnsi" w:eastAsiaTheme="minorHAnsi" w:hAnsiTheme="minorHAnsi" w:cstheme="minorBidi"/>
          <w:color w:val="auto"/>
          <w:sz w:val="22"/>
          <w:szCs w:val="22"/>
          <w:lang w:val="en-GB" w:eastAsia="fr-FR"/>
        </w:rPr>
        <w:t xml:space="preserve"> of an end user</w:t>
      </w:r>
      <w:r>
        <w:rPr>
          <w:rFonts w:asciiTheme="minorHAnsi" w:eastAsiaTheme="minorHAnsi" w:hAnsiTheme="minorHAnsi" w:cstheme="minorBidi"/>
          <w:color w:val="auto"/>
          <w:sz w:val="22"/>
          <w:szCs w:val="22"/>
          <w:lang w:val="en-GB" w:eastAsia="fr-FR"/>
        </w:rPr>
        <w:t xml:space="preserve"> </w:t>
      </w:r>
      <w:r w:rsidR="00286B6A">
        <w:rPr>
          <w:rFonts w:asciiTheme="minorHAnsi" w:eastAsiaTheme="minorHAnsi" w:hAnsiTheme="minorHAnsi" w:cstheme="minorBidi"/>
          <w:color w:val="auto"/>
          <w:sz w:val="22"/>
          <w:szCs w:val="22"/>
          <w:lang w:val="en-GB" w:eastAsia="fr-FR"/>
        </w:rPr>
        <w:t>issued</w:t>
      </w:r>
      <w:r>
        <w:rPr>
          <w:rFonts w:asciiTheme="minorHAnsi" w:eastAsiaTheme="minorHAnsi" w:hAnsiTheme="minorHAnsi" w:cstheme="minorBidi"/>
          <w:color w:val="auto"/>
          <w:sz w:val="22"/>
          <w:szCs w:val="22"/>
          <w:lang w:val="en-GB" w:eastAsia="fr-FR"/>
        </w:rPr>
        <w:t xml:space="preserve"> by </w:t>
      </w:r>
      <w:r w:rsidR="009C288C">
        <w:rPr>
          <w:rFonts w:asciiTheme="minorHAnsi" w:eastAsiaTheme="minorHAnsi" w:hAnsiTheme="minorHAnsi" w:cstheme="minorBidi"/>
          <w:color w:val="auto"/>
          <w:sz w:val="22"/>
          <w:szCs w:val="22"/>
          <w:lang w:val="en-GB" w:eastAsia="fr-FR"/>
        </w:rPr>
        <w:t>an</w:t>
      </w:r>
      <w:r>
        <w:rPr>
          <w:rFonts w:asciiTheme="minorHAnsi" w:eastAsiaTheme="minorHAnsi" w:hAnsiTheme="minorHAnsi" w:cstheme="minorBidi"/>
          <w:color w:val="auto"/>
          <w:sz w:val="22"/>
          <w:szCs w:val="22"/>
          <w:lang w:val="en-GB" w:eastAsia="fr-FR"/>
        </w:rPr>
        <w:t xml:space="preserve"> operator Identity Gateway (IDGW)</w:t>
      </w:r>
      <w:r w:rsidR="00342041">
        <w:rPr>
          <w:rFonts w:asciiTheme="minorHAnsi" w:eastAsiaTheme="minorHAnsi" w:hAnsiTheme="minorHAnsi" w:cstheme="minorBidi"/>
          <w:color w:val="auto"/>
          <w:sz w:val="22"/>
          <w:szCs w:val="22"/>
          <w:lang w:val="en-GB" w:eastAsia="fr-FR"/>
        </w:rPr>
        <w:t xml:space="preserve"> to a </w:t>
      </w:r>
      <w:r w:rsidR="00300763">
        <w:rPr>
          <w:rFonts w:asciiTheme="minorHAnsi" w:eastAsiaTheme="minorHAnsi" w:hAnsiTheme="minorHAnsi" w:cstheme="minorBidi"/>
          <w:color w:val="auto"/>
          <w:sz w:val="22"/>
          <w:szCs w:val="22"/>
          <w:lang w:val="en-GB" w:eastAsia="fr-FR"/>
        </w:rPr>
        <w:t>Service Provider</w:t>
      </w:r>
      <w:r w:rsidR="00342041">
        <w:rPr>
          <w:rFonts w:asciiTheme="minorHAnsi" w:eastAsiaTheme="minorHAnsi" w:hAnsiTheme="minorHAnsi" w:cstheme="minorBidi"/>
          <w:color w:val="auto"/>
          <w:sz w:val="22"/>
          <w:szCs w:val="22"/>
          <w:lang w:val="en-GB" w:eastAsia="fr-FR"/>
        </w:rPr>
        <w:t xml:space="preserve"> (SP)</w:t>
      </w:r>
      <w:r w:rsidR="00732CE5">
        <w:rPr>
          <w:rFonts w:asciiTheme="minorHAnsi" w:eastAsiaTheme="minorHAnsi" w:hAnsiTheme="minorHAnsi" w:cstheme="minorBidi"/>
          <w:color w:val="auto"/>
          <w:sz w:val="22"/>
          <w:szCs w:val="22"/>
          <w:lang w:val="en-GB" w:eastAsia="fr-FR"/>
        </w:rPr>
        <w:t>.</w:t>
      </w:r>
      <w:r>
        <w:rPr>
          <w:rFonts w:asciiTheme="minorHAnsi" w:eastAsiaTheme="minorHAnsi" w:hAnsiTheme="minorHAnsi" w:cstheme="minorBidi"/>
          <w:color w:val="auto"/>
          <w:sz w:val="22"/>
          <w:szCs w:val="22"/>
          <w:lang w:val="en-GB" w:eastAsia="fr-FR"/>
        </w:rPr>
        <w:t xml:space="preserve"> </w:t>
      </w:r>
      <w:r w:rsidR="00E93BFA">
        <w:rPr>
          <w:rFonts w:asciiTheme="minorHAnsi" w:eastAsiaTheme="minorHAnsi" w:hAnsiTheme="minorHAnsi" w:cstheme="minorBidi"/>
          <w:color w:val="auto"/>
          <w:sz w:val="22"/>
          <w:szCs w:val="22"/>
          <w:lang w:val="en-GB" w:eastAsia="fr-FR"/>
        </w:rPr>
        <w:t>“</w:t>
      </w:r>
      <w:r w:rsidR="00300763">
        <w:rPr>
          <w:rFonts w:asciiTheme="minorHAnsi" w:eastAsiaTheme="minorHAnsi" w:hAnsiTheme="minorHAnsi" w:cstheme="minorBidi"/>
          <w:color w:val="auto"/>
          <w:sz w:val="22"/>
          <w:szCs w:val="22"/>
          <w:lang w:val="en-GB" w:eastAsia="fr-FR"/>
        </w:rPr>
        <w:t>Service Provider</w:t>
      </w:r>
      <w:r w:rsidR="00E93BFA">
        <w:rPr>
          <w:rFonts w:asciiTheme="minorHAnsi" w:eastAsiaTheme="minorHAnsi" w:hAnsiTheme="minorHAnsi" w:cstheme="minorBidi"/>
          <w:color w:val="auto"/>
          <w:sz w:val="22"/>
          <w:szCs w:val="22"/>
          <w:lang w:val="en-GB" w:eastAsia="fr-FR"/>
        </w:rPr>
        <w:t xml:space="preserve">” wording </w:t>
      </w:r>
      <w:r w:rsidR="000F1FF0">
        <w:rPr>
          <w:rFonts w:asciiTheme="minorHAnsi" w:eastAsiaTheme="minorHAnsi" w:hAnsiTheme="minorHAnsi" w:cstheme="minorBidi"/>
          <w:color w:val="auto"/>
          <w:sz w:val="22"/>
          <w:szCs w:val="22"/>
          <w:lang w:val="en-GB" w:eastAsia="fr-FR"/>
        </w:rPr>
        <w:t>can cover</w:t>
      </w:r>
      <w:r w:rsidR="00E93BFA">
        <w:rPr>
          <w:rFonts w:asciiTheme="minorHAnsi" w:eastAsiaTheme="minorHAnsi" w:hAnsiTheme="minorHAnsi" w:cstheme="minorBidi"/>
          <w:color w:val="auto"/>
          <w:sz w:val="22"/>
          <w:szCs w:val="22"/>
          <w:lang w:val="en-GB" w:eastAsia="fr-FR"/>
        </w:rPr>
        <w:t xml:space="preserve"> one or several application(s)/</w:t>
      </w:r>
      <w:proofErr w:type="spellStart"/>
      <w:r w:rsidR="00E93BFA">
        <w:rPr>
          <w:rFonts w:asciiTheme="minorHAnsi" w:eastAsiaTheme="minorHAnsi" w:hAnsiTheme="minorHAnsi" w:cstheme="minorBidi"/>
          <w:color w:val="auto"/>
          <w:sz w:val="22"/>
          <w:szCs w:val="22"/>
          <w:lang w:val="en-GB" w:eastAsia="fr-FR"/>
        </w:rPr>
        <w:t>webservice</w:t>
      </w:r>
      <w:proofErr w:type="spellEnd"/>
      <w:r w:rsidR="00E93BFA">
        <w:rPr>
          <w:rFonts w:asciiTheme="minorHAnsi" w:eastAsiaTheme="minorHAnsi" w:hAnsiTheme="minorHAnsi" w:cstheme="minorBidi"/>
          <w:color w:val="auto"/>
          <w:sz w:val="22"/>
          <w:szCs w:val="22"/>
          <w:lang w:val="en-GB" w:eastAsia="fr-FR"/>
        </w:rPr>
        <w:t>(s).</w:t>
      </w:r>
      <w:r w:rsidR="003272E4">
        <w:rPr>
          <w:rFonts w:asciiTheme="minorHAnsi" w:eastAsiaTheme="minorHAnsi" w:hAnsiTheme="minorHAnsi" w:cstheme="minorBidi"/>
          <w:color w:val="auto"/>
          <w:sz w:val="22"/>
          <w:szCs w:val="22"/>
          <w:lang w:val="en-GB" w:eastAsia="fr-FR"/>
        </w:rPr>
        <w:t xml:space="preserve"> </w:t>
      </w:r>
      <w:r w:rsidR="00732CE5">
        <w:rPr>
          <w:rFonts w:asciiTheme="minorHAnsi" w:eastAsiaTheme="minorHAnsi" w:hAnsiTheme="minorHAnsi" w:cstheme="minorBidi"/>
          <w:color w:val="auto"/>
          <w:sz w:val="22"/>
          <w:szCs w:val="22"/>
          <w:lang w:val="en-GB" w:eastAsia="fr-FR"/>
        </w:rPr>
        <w:t>PCR is</w:t>
      </w:r>
      <w:r>
        <w:rPr>
          <w:rFonts w:asciiTheme="minorHAnsi" w:eastAsiaTheme="minorHAnsi" w:hAnsiTheme="minorHAnsi" w:cstheme="minorBidi"/>
          <w:color w:val="auto"/>
          <w:sz w:val="22"/>
          <w:szCs w:val="22"/>
          <w:lang w:val="en-GB" w:eastAsia="fr-FR"/>
        </w:rPr>
        <w:t xml:space="preserve"> </w:t>
      </w:r>
      <w:r w:rsidRPr="00E908C3">
        <w:rPr>
          <w:rFonts w:asciiTheme="minorHAnsi" w:eastAsiaTheme="minorHAnsi" w:hAnsiTheme="minorHAnsi" w:cstheme="minorBidi"/>
          <w:color w:val="auto"/>
          <w:sz w:val="22"/>
          <w:szCs w:val="22"/>
          <w:lang w:val="en-GB" w:eastAsia="fr-FR"/>
        </w:rPr>
        <w:t xml:space="preserve">used by Mobile Connect to reference </w:t>
      </w:r>
      <w:r w:rsidR="00732CE5">
        <w:rPr>
          <w:rFonts w:asciiTheme="minorHAnsi" w:eastAsiaTheme="minorHAnsi" w:hAnsiTheme="minorHAnsi" w:cstheme="minorBidi"/>
          <w:color w:val="auto"/>
          <w:sz w:val="22"/>
          <w:szCs w:val="22"/>
          <w:lang w:val="en-GB" w:eastAsia="fr-FR"/>
        </w:rPr>
        <w:t xml:space="preserve">uniquely </w:t>
      </w:r>
      <w:r w:rsidRPr="00E908C3">
        <w:rPr>
          <w:rFonts w:asciiTheme="minorHAnsi" w:eastAsiaTheme="minorHAnsi" w:hAnsiTheme="minorHAnsi" w:cstheme="minorBidi"/>
          <w:color w:val="auto"/>
          <w:sz w:val="22"/>
          <w:szCs w:val="22"/>
          <w:lang w:val="en-GB" w:eastAsia="fr-FR"/>
        </w:rPr>
        <w:t>a pairing between a specific end-user</w:t>
      </w:r>
      <w:r w:rsidR="002B7C86">
        <w:rPr>
          <w:rFonts w:asciiTheme="minorHAnsi" w:eastAsiaTheme="minorHAnsi" w:hAnsiTheme="minorHAnsi" w:cstheme="minorBidi"/>
          <w:color w:val="auto"/>
          <w:sz w:val="22"/>
          <w:szCs w:val="22"/>
          <w:lang w:val="en-GB" w:eastAsia="fr-FR"/>
        </w:rPr>
        <w:t xml:space="preserve"> </w:t>
      </w:r>
      <w:r w:rsidRPr="00E908C3">
        <w:rPr>
          <w:rFonts w:asciiTheme="minorHAnsi" w:eastAsiaTheme="minorHAnsi" w:hAnsiTheme="minorHAnsi" w:cstheme="minorBidi"/>
          <w:color w:val="auto"/>
          <w:sz w:val="22"/>
          <w:szCs w:val="22"/>
          <w:lang w:val="en-GB" w:eastAsia="fr-FR"/>
        </w:rPr>
        <w:t xml:space="preserve">and </w:t>
      </w:r>
      <w:r w:rsidR="003272E4">
        <w:rPr>
          <w:rFonts w:asciiTheme="minorHAnsi" w:eastAsiaTheme="minorHAnsi" w:hAnsiTheme="minorHAnsi" w:cstheme="minorBidi"/>
          <w:color w:val="auto"/>
          <w:sz w:val="22"/>
          <w:szCs w:val="22"/>
          <w:lang w:val="en-GB" w:eastAsia="fr-FR"/>
        </w:rPr>
        <w:t xml:space="preserve">a </w:t>
      </w:r>
      <w:r w:rsidR="00300763">
        <w:rPr>
          <w:rFonts w:asciiTheme="minorHAnsi" w:eastAsiaTheme="minorHAnsi" w:hAnsiTheme="minorHAnsi" w:cstheme="minorBidi"/>
          <w:color w:val="auto"/>
          <w:sz w:val="22"/>
          <w:szCs w:val="22"/>
          <w:lang w:val="en-GB" w:eastAsia="fr-FR"/>
        </w:rPr>
        <w:t>Service Provider</w:t>
      </w:r>
      <w:r w:rsidR="005F14CD">
        <w:rPr>
          <w:rFonts w:asciiTheme="minorHAnsi" w:eastAsiaTheme="minorHAnsi" w:hAnsiTheme="minorHAnsi" w:cstheme="minorBidi"/>
          <w:color w:val="auto"/>
          <w:sz w:val="22"/>
          <w:szCs w:val="22"/>
          <w:lang w:val="en-GB" w:eastAsia="fr-FR"/>
        </w:rPr>
        <w:t>,</w:t>
      </w:r>
      <w:r w:rsidR="00732CE5">
        <w:rPr>
          <w:rFonts w:asciiTheme="minorHAnsi" w:eastAsiaTheme="minorHAnsi" w:hAnsiTheme="minorHAnsi" w:cstheme="minorBidi"/>
          <w:color w:val="auto"/>
          <w:sz w:val="22"/>
          <w:szCs w:val="22"/>
          <w:lang w:val="en-GB" w:eastAsia="fr-FR"/>
        </w:rPr>
        <w:t xml:space="preserve"> inside </w:t>
      </w:r>
      <w:r w:rsidR="00397270">
        <w:rPr>
          <w:rFonts w:asciiTheme="minorHAnsi" w:eastAsiaTheme="minorHAnsi" w:hAnsiTheme="minorHAnsi" w:cstheme="minorBidi"/>
          <w:color w:val="auto"/>
          <w:sz w:val="22"/>
          <w:szCs w:val="22"/>
          <w:lang w:val="en-GB" w:eastAsia="fr-FR"/>
        </w:rPr>
        <w:t>the</w:t>
      </w:r>
      <w:r w:rsidR="009C288C">
        <w:rPr>
          <w:rFonts w:asciiTheme="minorHAnsi" w:eastAsiaTheme="minorHAnsi" w:hAnsiTheme="minorHAnsi" w:cstheme="minorBidi"/>
          <w:color w:val="auto"/>
          <w:sz w:val="22"/>
          <w:szCs w:val="22"/>
          <w:lang w:val="en-GB" w:eastAsia="fr-FR"/>
        </w:rPr>
        <w:t xml:space="preserve"> specific</w:t>
      </w:r>
      <w:r w:rsidR="00732CE5">
        <w:rPr>
          <w:rFonts w:asciiTheme="minorHAnsi" w:eastAsiaTheme="minorHAnsi" w:hAnsiTheme="minorHAnsi" w:cstheme="minorBidi"/>
          <w:color w:val="auto"/>
          <w:sz w:val="22"/>
          <w:szCs w:val="22"/>
          <w:lang w:val="en-GB" w:eastAsia="fr-FR"/>
        </w:rPr>
        <w:t xml:space="preserve"> operator </w:t>
      </w:r>
      <w:r w:rsidR="00286B6A">
        <w:rPr>
          <w:rFonts w:asciiTheme="minorHAnsi" w:eastAsiaTheme="minorHAnsi" w:hAnsiTheme="minorHAnsi" w:cstheme="minorBidi"/>
          <w:color w:val="auto"/>
          <w:sz w:val="22"/>
          <w:szCs w:val="22"/>
          <w:lang w:val="en-GB" w:eastAsia="fr-FR"/>
        </w:rPr>
        <w:t>perimeter</w:t>
      </w:r>
      <w:r w:rsidRPr="00E908C3">
        <w:rPr>
          <w:rFonts w:asciiTheme="minorHAnsi" w:eastAsiaTheme="minorHAnsi" w:hAnsiTheme="minorHAnsi" w:cstheme="minorBidi"/>
          <w:color w:val="auto"/>
          <w:sz w:val="22"/>
          <w:szCs w:val="22"/>
          <w:lang w:val="en-GB" w:eastAsia="fr-FR"/>
        </w:rPr>
        <w:t>.</w:t>
      </w:r>
      <w:r w:rsidR="003040AA">
        <w:rPr>
          <w:rFonts w:asciiTheme="minorHAnsi" w:eastAsiaTheme="minorHAnsi" w:hAnsiTheme="minorHAnsi" w:cstheme="minorBidi"/>
          <w:color w:val="auto"/>
          <w:sz w:val="22"/>
          <w:szCs w:val="22"/>
          <w:lang w:val="en-GB" w:eastAsia="fr-FR"/>
        </w:rPr>
        <w:t xml:space="preserve"> In other words, PCR is basically unique for the tuple {specific operator, </w:t>
      </w:r>
      <w:r w:rsidR="003040AA" w:rsidRPr="00E908C3">
        <w:rPr>
          <w:rFonts w:asciiTheme="minorHAnsi" w:eastAsiaTheme="minorHAnsi" w:hAnsiTheme="minorHAnsi" w:cstheme="minorBidi"/>
          <w:color w:val="auto"/>
          <w:sz w:val="22"/>
          <w:szCs w:val="22"/>
          <w:lang w:val="en-GB" w:eastAsia="fr-FR"/>
        </w:rPr>
        <w:t>specific end-user</w:t>
      </w:r>
      <w:r w:rsidR="003040AA">
        <w:rPr>
          <w:rFonts w:asciiTheme="minorHAnsi" w:eastAsiaTheme="minorHAnsi" w:hAnsiTheme="minorHAnsi" w:cstheme="minorBidi"/>
          <w:color w:val="auto"/>
          <w:sz w:val="22"/>
          <w:szCs w:val="22"/>
          <w:lang w:val="en-GB" w:eastAsia="fr-FR"/>
        </w:rPr>
        <w:t xml:space="preserve">, </w:t>
      </w:r>
      <w:r w:rsidR="00A10ADB" w:rsidRPr="00E908C3">
        <w:rPr>
          <w:rFonts w:asciiTheme="minorHAnsi" w:eastAsiaTheme="minorHAnsi" w:hAnsiTheme="minorHAnsi" w:cstheme="minorBidi"/>
          <w:color w:val="auto"/>
          <w:sz w:val="22"/>
          <w:szCs w:val="22"/>
          <w:lang w:val="en-GB" w:eastAsia="fr-FR"/>
        </w:rPr>
        <w:t xml:space="preserve">and </w:t>
      </w:r>
      <w:r w:rsidR="00300763">
        <w:rPr>
          <w:rFonts w:asciiTheme="minorHAnsi" w:eastAsiaTheme="minorHAnsi" w:hAnsiTheme="minorHAnsi" w:cstheme="minorBidi"/>
          <w:color w:val="auto"/>
          <w:sz w:val="22"/>
          <w:szCs w:val="22"/>
          <w:lang w:val="en-GB" w:eastAsia="fr-FR"/>
        </w:rPr>
        <w:t>Service Provider</w:t>
      </w:r>
      <w:r w:rsidR="003040AA">
        <w:rPr>
          <w:rFonts w:asciiTheme="minorHAnsi" w:eastAsiaTheme="minorHAnsi" w:hAnsiTheme="minorHAnsi" w:cstheme="minorBidi"/>
          <w:color w:val="auto"/>
          <w:sz w:val="22"/>
          <w:szCs w:val="22"/>
          <w:lang w:val="en-GB" w:eastAsia="fr-FR"/>
        </w:rPr>
        <w:t>}.</w:t>
      </w:r>
      <w:r w:rsidR="001D2F55">
        <w:rPr>
          <w:rFonts w:asciiTheme="minorHAnsi" w:eastAsiaTheme="minorHAnsi" w:hAnsiTheme="minorHAnsi" w:cstheme="minorBidi"/>
          <w:color w:val="auto"/>
          <w:sz w:val="22"/>
          <w:szCs w:val="22"/>
          <w:lang w:val="en-GB" w:eastAsia="fr-FR"/>
        </w:rPr>
        <w:t xml:space="preserve"> SP MUST NOT consider PCR globally but only within the perimeter of the issuer operator.</w:t>
      </w:r>
    </w:p>
    <w:p w14:paraId="2803BD05" w14:textId="77777777" w:rsidR="007D4EED" w:rsidRDefault="007D4EED" w:rsidP="002B7C86">
      <w:pPr>
        <w:rPr>
          <w:lang w:val="en-GB" w:eastAsia="fr-FR"/>
        </w:rPr>
      </w:pPr>
    </w:p>
    <w:p w14:paraId="32772D60" w14:textId="163E5194" w:rsidR="007D4EED" w:rsidRPr="007D4EED" w:rsidRDefault="00E05B25" w:rsidP="002B7C86">
      <w:pPr>
        <w:rPr>
          <w:lang w:val="en-GB" w:eastAsia="fr-FR"/>
        </w:rPr>
      </w:pPr>
      <w:r>
        <w:rPr>
          <w:lang w:val="en-GB" w:eastAsia="fr-FR"/>
        </w:rPr>
        <w:t xml:space="preserve">The PCR will be found in </w:t>
      </w:r>
      <w:proofErr w:type="spellStart"/>
      <w:r>
        <w:rPr>
          <w:lang w:val="en-GB" w:eastAsia="fr-FR"/>
        </w:rPr>
        <w:t>id_tokens</w:t>
      </w:r>
      <w:proofErr w:type="spellEnd"/>
      <w:r>
        <w:rPr>
          <w:lang w:val="en-GB" w:eastAsia="fr-FR"/>
        </w:rPr>
        <w:t xml:space="preserve"> in the field “sub” as described in OpenID</w:t>
      </w:r>
      <w:r w:rsidR="00D95C9C">
        <w:rPr>
          <w:lang w:val="en-GB" w:eastAsia="fr-FR"/>
        </w:rPr>
        <w:t xml:space="preserve"> Con</w:t>
      </w:r>
      <w:r>
        <w:rPr>
          <w:lang w:val="en-GB" w:eastAsia="fr-FR"/>
        </w:rPr>
        <w:t>n</w:t>
      </w:r>
      <w:r w:rsidR="00D95C9C">
        <w:rPr>
          <w:lang w:val="en-GB" w:eastAsia="fr-FR"/>
        </w:rPr>
        <w:t>e</w:t>
      </w:r>
      <w:r>
        <w:rPr>
          <w:lang w:val="en-GB" w:eastAsia="fr-FR"/>
        </w:rPr>
        <w:t>ct 1.0 (</w:t>
      </w:r>
      <w:hyperlink r:id="rId8" w:anchor="IDToken" w:history="1">
        <w:r w:rsidRPr="008402CC">
          <w:rPr>
            <w:rStyle w:val="Lienhypertexte"/>
            <w:lang w:val="en-GB" w:eastAsia="fr-FR"/>
          </w:rPr>
          <w:t>https://openid.net/specs/openid-connect-core-1_0.html#IDToken</w:t>
        </w:r>
      </w:hyperlink>
      <w:r>
        <w:rPr>
          <w:lang w:val="en-GB" w:eastAsia="fr-FR"/>
        </w:rPr>
        <w:t>). As stated in the pointed spec</w:t>
      </w:r>
      <w:r w:rsidR="00C70C5C">
        <w:rPr>
          <w:lang w:val="en-GB" w:eastAsia="fr-FR"/>
        </w:rPr>
        <w:t>ification</w:t>
      </w:r>
      <w:r>
        <w:rPr>
          <w:lang w:val="en-GB" w:eastAsia="fr-FR"/>
        </w:rPr>
        <w:t>, t</w:t>
      </w:r>
      <w:r w:rsidR="007D4EED">
        <w:rPr>
          <w:lang w:val="en-GB" w:eastAsia="fr-FR"/>
        </w:rPr>
        <w:t xml:space="preserve">he PCR </w:t>
      </w:r>
      <w:r w:rsidR="007D4EED" w:rsidRPr="002B7C86">
        <w:rPr>
          <w:lang w:val="en-GB"/>
        </w:rPr>
        <w:t>is a locally unique</w:t>
      </w:r>
      <w:r w:rsidR="002B7C86">
        <w:rPr>
          <w:lang w:val="en-GB"/>
        </w:rPr>
        <w:t xml:space="preserve"> </w:t>
      </w:r>
      <w:r w:rsidR="002B7C86" w:rsidRPr="002B7C86">
        <w:rPr>
          <w:lang w:val="en-GB"/>
        </w:rPr>
        <w:t>for the End-User</w:t>
      </w:r>
      <w:r w:rsidR="007D4EED" w:rsidRPr="002B7C86">
        <w:rPr>
          <w:lang w:val="en-GB"/>
        </w:rPr>
        <w:t xml:space="preserve"> </w:t>
      </w:r>
      <w:r w:rsidR="002B7C86" w:rsidRPr="002B7C86">
        <w:rPr>
          <w:lang w:val="en-GB"/>
        </w:rPr>
        <w:t>within the Issuer</w:t>
      </w:r>
      <w:r w:rsidR="00701279">
        <w:rPr>
          <w:lang w:val="en-GB"/>
        </w:rPr>
        <w:t xml:space="preserve"> perimeter</w:t>
      </w:r>
      <w:r w:rsidR="002B7C86" w:rsidRPr="002B7C86">
        <w:rPr>
          <w:lang w:val="en-GB"/>
        </w:rPr>
        <w:t xml:space="preserve"> </w:t>
      </w:r>
      <w:r w:rsidR="007D4EED" w:rsidRPr="002B7C86">
        <w:rPr>
          <w:lang w:val="en-GB"/>
        </w:rPr>
        <w:t>and never r</w:t>
      </w:r>
      <w:r w:rsidR="00187BDD">
        <w:rPr>
          <w:lang w:val="en-GB"/>
        </w:rPr>
        <w:t>eassigned</w:t>
      </w:r>
      <w:r w:rsidR="007D4EED" w:rsidRPr="002B7C86">
        <w:rPr>
          <w:lang w:val="en-GB"/>
        </w:rPr>
        <w:t>. This property MUST be g</w:t>
      </w:r>
      <w:r w:rsidR="002B7C86">
        <w:rPr>
          <w:lang w:val="en-GB"/>
        </w:rPr>
        <w:t>u</w:t>
      </w:r>
      <w:r w:rsidR="007D4EED" w:rsidRPr="002B7C86">
        <w:rPr>
          <w:lang w:val="en-GB"/>
        </w:rPr>
        <w:t>aranteed by the issuer operator.</w:t>
      </w:r>
    </w:p>
    <w:p w14:paraId="21149D6F" w14:textId="6D98E823" w:rsidR="00286B6A" w:rsidRPr="00803303" w:rsidRDefault="00B109CC" w:rsidP="00E908C3">
      <w:pPr>
        <w:pStyle w:val="Titre1"/>
        <w:rPr>
          <w:rFonts w:asciiTheme="minorHAnsi" w:eastAsiaTheme="minorHAnsi" w:hAnsiTheme="minorHAnsi" w:cstheme="minorBidi"/>
          <w:color w:val="auto"/>
          <w:sz w:val="22"/>
          <w:szCs w:val="22"/>
          <w:lang w:val="en-US" w:eastAsia="fr-FR"/>
        </w:rPr>
      </w:pPr>
      <w:r>
        <w:rPr>
          <w:rFonts w:asciiTheme="minorHAnsi" w:eastAsiaTheme="minorHAnsi" w:hAnsiTheme="minorHAnsi" w:cstheme="minorBidi"/>
          <w:color w:val="auto"/>
          <w:sz w:val="22"/>
          <w:szCs w:val="22"/>
          <w:lang w:val="en-GB" w:eastAsia="fr-FR"/>
        </w:rPr>
        <w:t>As a definition, e</w:t>
      </w:r>
      <w:r w:rsidR="00286B6A">
        <w:rPr>
          <w:rFonts w:asciiTheme="minorHAnsi" w:eastAsiaTheme="minorHAnsi" w:hAnsiTheme="minorHAnsi" w:cstheme="minorBidi"/>
          <w:color w:val="auto"/>
          <w:sz w:val="22"/>
          <w:szCs w:val="22"/>
          <w:lang w:val="en-GB" w:eastAsia="fr-FR"/>
        </w:rPr>
        <w:t xml:space="preserve">nd user is the effective user of the MSISDN and </w:t>
      </w:r>
      <w:r w:rsidR="00286B6A" w:rsidRPr="00286B6A">
        <w:rPr>
          <w:rFonts w:asciiTheme="minorHAnsi" w:eastAsiaTheme="minorHAnsi" w:hAnsiTheme="minorHAnsi" w:cstheme="minorBidi"/>
          <w:color w:val="auto"/>
          <w:sz w:val="22"/>
          <w:szCs w:val="22"/>
          <w:lang w:val="en-GB" w:eastAsia="fr-FR"/>
        </w:rPr>
        <w:t xml:space="preserve">not some other </w:t>
      </w:r>
      <w:r w:rsidR="0093454A">
        <w:rPr>
          <w:rFonts w:asciiTheme="minorHAnsi" w:eastAsiaTheme="minorHAnsi" w:hAnsiTheme="minorHAnsi" w:cstheme="minorBidi"/>
          <w:color w:val="auto"/>
          <w:sz w:val="22"/>
          <w:szCs w:val="22"/>
          <w:lang w:val="en-GB" w:eastAsia="fr-FR"/>
        </w:rPr>
        <w:t>people</w:t>
      </w:r>
      <w:r w:rsidR="0093454A" w:rsidRPr="00286B6A">
        <w:rPr>
          <w:rFonts w:asciiTheme="minorHAnsi" w:eastAsiaTheme="minorHAnsi" w:hAnsiTheme="minorHAnsi" w:cstheme="minorBidi"/>
          <w:color w:val="auto"/>
          <w:sz w:val="22"/>
          <w:szCs w:val="22"/>
          <w:lang w:val="en-GB" w:eastAsia="fr-FR"/>
        </w:rPr>
        <w:t xml:space="preserve"> </w:t>
      </w:r>
      <w:r w:rsidR="00286B6A" w:rsidRPr="00286B6A">
        <w:rPr>
          <w:rFonts w:asciiTheme="minorHAnsi" w:eastAsiaTheme="minorHAnsi" w:hAnsiTheme="minorHAnsi" w:cstheme="minorBidi"/>
          <w:color w:val="auto"/>
          <w:sz w:val="22"/>
          <w:szCs w:val="22"/>
          <w:lang w:val="en-GB" w:eastAsia="fr-FR"/>
        </w:rPr>
        <w:t xml:space="preserve">which may have a link with this </w:t>
      </w:r>
      <w:r w:rsidR="00286B6A">
        <w:rPr>
          <w:rFonts w:asciiTheme="minorHAnsi" w:eastAsiaTheme="minorHAnsi" w:hAnsiTheme="minorHAnsi" w:cstheme="minorBidi"/>
          <w:color w:val="auto"/>
          <w:sz w:val="22"/>
          <w:szCs w:val="22"/>
          <w:lang w:val="en-GB" w:eastAsia="fr-FR"/>
        </w:rPr>
        <w:t xml:space="preserve">MSISDN </w:t>
      </w:r>
      <w:r w:rsidR="00286B6A" w:rsidRPr="00286B6A">
        <w:rPr>
          <w:rFonts w:asciiTheme="minorHAnsi" w:eastAsiaTheme="minorHAnsi" w:hAnsiTheme="minorHAnsi" w:cstheme="minorBidi"/>
          <w:color w:val="auto"/>
          <w:sz w:val="22"/>
          <w:szCs w:val="22"/>
          <w:lang w:val="en-GB" w:eastAsia="fr-FR"/>
        </w:rPr>
        <w:t xml:space="preserve">(notably in business to business or household context: </w:t>
      </w:r>
      <w:r w:rsidR="00B4244D">
        <w:rPr>
          <w:rFonts w:asciiTheme="minorHAnsi" w:eastAsiaTheme="minorHAnsi" w:hAnsiTheme="minorHAnsi" w:cstheme="minorBidi"/>
          <w:color w:val="auto"/>
          <w:sz w:val="22"/>
          <w:szCs w:val="22"/>
          <w:lang w:val="en-GB" w:eastAsia="fr-FR"/>
        </w:rPr>
        <w:t>contract owner</w:t>
      </w:r>
      <w:r w:rsidR="00286B6A" w:rsidRPr="00286B6A">
        <w:rPr>
          <w:rFonts w:asciiTheme="minorHAnsi" w:eastAsiaTheme="minorHAnsi" w:hAnsiTheme="minorHAnsi" w:cstheme="minorBidi"/>
          <w:color w:val="auto"/>
          <w:sz w:val="22"/>
          <w:szCs w:val="22"/>
          <w:lang w:val="en-GB" w:eastAsia="fr-FR"/>
        </w:rPr>
        <w:t>, company, payer ...).</w:t>
      </w:r>
      <w:r w:rsidR="00803303" w:rsidRPr="00803303">
        <w:rPr>
          <w:lang w:val="en-US"/>
        </w:rPr>
        <w:t xml:space="preserve"> </w:t>
      </w:r>
      <w:r w:rsidR="00803303" w:rsidRPr="00803303">
        <w:rPr>
          <w:rFonts w:asciiTheme="minorHAnsi" w:eastAsiaTheme="minorHAnsi" w:hAnsiTheme="minorHAnsi" w:cstheme="minorBidi"/>
          <w:color w:val="auto"/>
          <w:sz w:val="22"/>
          <w:szCs w:val="22"/>
          <w:lang w:val="en-GB" w:eastAsia="fr-FR"/>
        </w:rPr>
        <w:t xml:space="preserve">This is </w:t>
      </w:r>
      <w:r>
        <w:rPr>
          <w:rFonts w:asciiTheme="minorHAnsi" w:eastAsiaTheme="minorHAnsi" w:hAnsiTheme="minorHAnsi" w:cstheme="minorBidi"/>
          <w:color w:val="auto"/>
          <w:sz w:val="22"/>
          <w:szCs w:val="22"/>
          <w:lang w:val="en-GB" w:eastAsia="fr-FR"/>
        </w:rPr>
        <w:t xml:space="preserve">an </w:t>
      </w:r>
      <w:r w:rsidR="00803303" w:rsidRPr="00803303">
        <w:rPr>
          <w:rFonts w:asciiTheme="minorHAnsi" w:eastAsiaTheme="minorHAnsi" w:hAnsiTheme="minorHAnsi" w:cstheme="minorBidi"/>
          <w:color w:val="auto"/>
          <w:sz w:val="22"/>
          <w:szCs w:val="22"/>
          <w:lang w:val="en-GB" w:eastAsia="fr-FR"/>
        </w:rPr>
        <w:t>important</w:t>
      </w:r>
      <w:r>
        <w:rPr>
          <w:rFonts w:asciiTheme="minorHAnsi" w:eastAsiaTheme="minorHAnsi" w:hAnsiTheme="minorHAnsi" w:cstheme="minorBidi"/>
          <w:color w:val="auto"/>
          <w:sz w:val="22"/>
          <w:szCs w:val="22"/>
          <w:lang w:val="en-GB" w:eastAsia="fr-FR"/>
        </w:rPr>
        <w:t xml:space="preserve"> notion</w:t>
      </w:r>
      <w:r w:rsidR="00803303" w:rsidRPr="00803303">
        <w:rPr>
          <w:rFonts w:asciiTheme="minorHAnsi" w:eastAsiaTheme="minorHAnsi" w:hAnsiTheme="minorHAnsi" w:cstheme="minorBidi"/>
          <w:color w:val="auto"/>
          <w:sz w:val="22"/>
          <w:szCs w:val="22"/>
          <w:lang w:val="en-GB" w:eastAsia="fr-FR"/>
        </w:rPr>
        <w:t xml:space="preserve"> especially while some attributes will be consumed by SPs and will be </w:t>
      </w:r>
      <w:r w:rsidR="0093454A">
        <w:rPr>
          <w:rFonts w:asciiTheme="minorHAnsi" w:eastAsiaTheme="minorHAnsi" w:hAnsiTheme="minorHAnsi" w:cstheme="minorBidi"/>
          <w:color w:val="auto"/>
          <w:sz w:val="22"/>
          <w:szCs w:val="22"/>
          <w:lang w:val="en-GB" w:eastAsia="fr-FR"/>
        </w:rPr>
        <w:t xml:space="preserve">linked to </w:t>
      </w:r>
      <w:r w:rsidR="00803303" w:rsidRPr="00803303">
        <w:rPr>
          <w:rFonts w:asciiTheme="minorHAnsi" w:eastAsiaTheme="minorHAnsi" w:hAnsiTheme="minorHAnsi" w:cstheme="minorBidi"/>
          <w:color w:val="auto"/>
          <w:sz w:val="22"/>
          <w:szCs w:val="22"/>
          <w:lang w:val="en-GB" w:eastAsia="fr-FR"/>
        </w:rPr>
        <w:t>the PCR on SP side.</w:t>
      </w:r>
    </w:p>
    <w:p w14:paraId="2EE871D5" w14:textId="77777777" w:rsidR="00B4244D" w:rsidRDefault="00B4244D" w:rsidP="00B4244D">
      <w:pPr>
        <w:rPr>
          <w:lang w:val="en-GB" w:eastAsia="fr-FR"/>
        </w:rPr>
      </w:pPr>
    </w:p>
    <w:p w14:paraId="2663CF4C" w14:textId="77777777" w:rsidR="00B4244D" w:rsidRPr="00732CE5" w:rsidRDefault="00B4244D" w:rsidP="00B4244D">
      <w:pPr>
        <w:pStyle w:val="Titre4"/>
        <w:rPr>
          <w:lang w:val="en-GB" w:eastAsia="fr-FR"/>
        </w:rPr>
      </w:pPr>
      <w:r>
        <w:rPr>
          <w:lang w:val="en-GB" w:eastAsia="fr-FR"/>
        </w:rPr>
        <w:t>Format</w:t>
      </w:r>
    </w:p>
    <w:p w14:paraId="75E3DEC8" w14:textId="77777777" w:rsidR="00193E61" w:rsidRPr="00193E61" w:rsidRDefault="00193E61" w:rsidP="00193E61">
      <w:pPr>
        <w:rPr>
          <w:lang w:val="en-GB" w:eastAsia="fr-FR"/>
        </w:rPr>
      </w:pPr>
    </w:p>
    <w:p w14:paraId="41E6A707" w14:textId="77777777" w:rsidR="00193E61" w:rsidRPr="00193E61" w:rsidRDefault="00193E61" w:rsidP="00193E61">
      <w:pPr>
        <w:rPr>
          <w:lang w:val="en-GB" w:eastAsia="fr-FR"/>
        </w:rPr>
      </w:pPr>
      <w:r>
        <w:rPr>
          <w:lang w:val="en-GB" w:eastAsia="fr-FR"/>
        </w:rPr>
        <w:t xml:space="preserve">The format of the </w:t>
      </w:r>
      <w:r w:rsidR="005C08CD">
        <w:rPr>
          <w:lang w:val="en-GB" w:eastAsia="fr-FR"/>
        </w:rPr>
        <w:t xml:space="preserve">PCR </w:t>
      </w:r>
      <w:r>
        <w:rPr>
          <w:lang w:val="en-GB" w:eastAsia="fr-FR"/>
        </w:rPr>
        <w:t>is up to the operator. It must be unique within the iss</w:t>
      </w:r>
      <w:r w:rsidR="005C08CD">
        <w:rPr>
          <w:lang w:val="en-GB" w:eastAsia="fr-FR"/>
        </w:rPr>
        <w:t xml:space="preserve">uer </w:t>
      </w:r>
      <w:r>
        <w:rPr>
          <w:lang w:val="en-GB" w:eastAsia="fr-FR"/>
        </w:rPr>
        <w:t>operator</w:t>
      </w:r>
      <w:r w:rsidR="005C08CD">
        <w:rPr>
          <w:lang w:val="en-GB" w:eastAsia="fr-FR"/>
        </w:rPr>
        <w:t xml:space="preserve"> </w:t>
      </w:r>
      <w:r>
        <w:rPr>
          <w:lang w:val="en-GB" w:eastAsia="fr-FR"/>
        </w:rPr>
        <w:t xml:space="preserve">perimeter. As an example, it could be generated as a GUID </w:t>
      </w:r>
      <w:r w:rsidRPr="00E908C3">
        <w:rPr>
          <w:lang w:val="en-GB" w:eastAsia="fr-FR"/>
        </w:rPr>
        <w:t>(Globally Unique Identifier)</w:t>
      </w:r>
      <w:r>
        <w:rPr>
          <w:lang w:val="en-GB" w:eastAsia="fr-FR"/>
        </w:rPr>
        <w:t xml:space="preserve">, </w:t>
      </w:r>
      <w:r w:rsidRPr="00193E61">
        <w:rPr>
          <w:lang w:val="en-GB" w:eastAsia="fr-FR"/>
        </w:rPr>
        <w:t xml:space="preserve">5 groups of 32 </w:t>
      </w:r>
      <w:proofErr w:type="gramStart"/>
      <w:r w:rsidRPr="00193E61">
        <w:rPr>
          <w:lang w:val="en-GB" w:eastAsia="fr-FR"/>
        </w:rPr>
        <w:t>hexadecimal</w:t>
      </w:r>
      <w:proofErr w:type="gramEnd"/>
      <w:r w:rsidRPr="00193E61">
        <w:rPr>
          <w:lang w:val="en-GB" w:eastAsia="fr-FR"/>
        </w:rPr>
        <w:t xml:space="preserve"> (base 16) digits, separated by hyphens. </w:t>
      </w:r>
    </w:p>
    <w:p w14:paraId="48A2817F" w14:textId="77777777" w:rsidR="00193E61" w:rsidRDefault="00193E61" w:rsidP="00193E61">
      <w:pPr>
        <w:jc w:val="center"/>
        <w:rPr>
          <w:lang w:val="en-GB" w:eastAsia="fr-FR"/>
        </w:rPr>
      </w:pPr>
      <w:r w:rsidRPr="00193E61">
        <w:rPr>
          <w:lang w:val="en-GB" w:eastAsia="fr-FR"/>
        </w:rPr>
        <w:t>4567e123-e89b-12d3-456a-426655440000</w:t>
      </w:r>
    </w:p>
    <w:p w14:paraId="1D4EC9B1" w14:textId="77777777" w:rsidR="00193E61" w:rsidRPr="00193E61" w:rsidRDefault="00193E61" w:rsidP="00193E61">
      <w:pPr>
        <w:rPr>
          <w:lang w:val="en-GB" w:eastAsia="fr-FR"/>
        </w:rPr>
      </w:pPr>
      <w:r>
        <w:rPr>
          <w:lang w:val="en-GB" w:eastAsia="fr-FR"/>
        </w:rPr>
        <w:t xml:space="preserve">It is important to note that the same </w:t>
      </w:r>
      <w:r w:rsidR="005C08CD">
        <w:rPr>
          <w:lang w:val="en-GB" w:eastAsia="fr-FR"/>
        </w:rPr>
        <w:t xml:space="preserve">PCR </w:t>
      </w:r>
      <w:r>
        <w:rPr>
          <w:lang w:val="en-GB" w:eastAsia="fr-FR"/>
        </w:rPr>
        <w:t>could be found for 2 distinct iss</w:t>
      </w:r>
      <w:r w:rsidR="005C08CD">
        <w:rPr>
          <w:lang w:val="en-GB" w:eastAsia="fr-FR"/>
        </w:rPr>
        <w:t>uers</w:t>
      </w:r>
      <w:r>
        <w:rPr>
          <w:lang w:val="en-GB" w:eastAsia="fr-FR"/>
        </w:rPr>
        <w:t xml:space="preserve">. In this case, they are referencing distinct users. </w:t>
      </w:r>
      <w:r w:rsidRPr="00193E61">
        <w:rPr>
          <w:b/>
          <w:lang w:val="en-GB" w:eastAsia="fr-FR"/>
        </w:rPr>
        <w:t xml:space="preserve">This is the reason why it is crucial that SP always consider </w:t>
      </w:r>
      <w:r w:rsidR="005C08CD">
        <w:rPr>
          <w:b/>
          <w:lang w:val="en-GB" w:eastAsia="fr-FR"/>
        </w:rPr>
        <w:t>PCR</w:t>
      </w:r>
      <w:r w:rsidR="005C08CD" w:rsidRPr="00193E61">
        <w:rPr>
          <w:b/>
          <w:lang w:val="en-GB" w:eastAsia="fr-FR"/>
        </w:rPr>
        <w:t xml:space="preserve"> </w:t>
      </w:r>
      <w:r w:rsidRPr="00193E61">
        <w:rPr>
          <w:b/>
          <w:lang w:val="en-GB" w:eastAsia="fr-FR"/>
        </w:rPr>
        <w:t>associated with the related issuer.</w:t>
      </w:r>
    </w:p>
    <w:p w14:paraId="729C5BFF" w14:textId="77777777" w:rsidR="00732CE5" w:rsidRPr="00732CE5" w:rsidRDefault="00B4244D" w:rsidP="00B4244D">
      <w:pPr>
        <w:pStyle w:val="Titre4"/>
        <w:rPr>
          <w:lang w:val="en-GB" w:eastAsia="fr-FR"/>
        </w:rPr>
      </w:pPr>
      <w:r>
        <w:rPr>
          <w:lang w:val="en-GB" w:eastAsia="fr-FR"/>
        </w:rPr>
        <w:lastRenderedPageBreak/>
        <w:t>Delivery</w:t>
      </w:r>
    </w:p>
    <w:p w14:paraId="73823786" w14:textId="2929A637" w:rsidR="00732CE5" w:rsidRDefault="00E908C3" w:rsidP="00E908C3">
      <w:pPr>
        <w:pStyle w:val="Titre1"/>
        <w:rPr>
          <w:rFonts w:asciiTheme="minorHAnsi" w:eastAsiaTheme="minorHAnsi" w:hAnsiTheme="minorHAnsi" w:cstheme="minorBidi"/>
          <w:color w:val="auto"/>
          <w:sz w:val="22"/>
          <w:szCs w:val="22"/>
          <w:lang w:val="en-GB" w:eastAsia="fr-FR"/>
        </w:rPr>
      </w:pPr>
      <w:r w:rsidRPr="00E908C3">
        <w:rPr>
          <w:rFonts w:asciiTheme="minorHAnsi" w:eastAsiaTheme="minorHAnsi" w:hAnsiTheme="minorHAnsi" w:cstheme="minorBidi"/>
          <w:color w:val="auto"/>
          <w:sz w:val="22"/>
          <w:szCs w:val="22"/>
          <w:lang w:val="en-GB" w:eastAsia="fr-FR"/>
        </w:rPr>
        <w:t xml:space="preserve">The PCR is </w:t>
      </w:r>
      <w:r w:rsidR="00732CE5">
        <w:rPr>
          <w:rFonts w:asciiTheme="minorHAnsi" w:eastAsiaTheme="minorHAnsi" w:hAnsiTheme="minorHAnsi" w:cstheme="minorBidi"/>
          <w:color w:val="auto"/>
          <w:sz w:val="22"/>
          <w:szCs w:val="22"/>
          <w:lang w:val="en-GB" w:eastAsia="fr-FR"/>
        </w:rPr>
        <w:t xml:space="preserve">delivered </w:t>
      </w:r>
      <w:r w:rsidR="00967ED4">
        <w:rPr>
          <w:rFonts w:asciiTheme="minorHAnsi" w:eastAsiaTheme="minorHAnsi" w:hAnsiTheme="minorHAnsi" w:cstheme="minorBidi"/>
          <w:color w:val="auto"/>
          <w:sz w:val="22"/>
          <w:szCs w:val="22"/>
          <w:lang w:val="en-GB" w:eastAsia="fr-FR"/>
        </w:rPr>
        <w:t xml:space="preserve">to the </w:t>
      </w:r>
      <w:r w:rsidR="00967ED4" w:rsidRPr="00E908C3">
        <w:rPr>
          <w:rFonts w:asciiTheme="minorHAnsi" w:eastAsiaTheme="minorHAnsi" w:hAnsiTheme="minorHAnsi" w:cstheme="minorBidi"/>
          <w:color w:val="auto"/>
          <w:sz w:val="22"/>
          <w:szCs w:val="22"/>
          <w:lang w:val="en-GB" w:eastAsia="fr-FR"/>
        </w:rPr>
        <w:t xml:space="preserve">specific </w:t>
      </w:r>
      <w:r w:rsidR="00300763">
        <w:rPr>
          <w:rFonts w:asciiTheme="minorHAnsi" w:eastAsiaTheme="minorHAnsi" w:hAnsiTheme="minorHAnsi" w:cstheme="minorBidi"/>
          <w:color w:val="auto"/>
          <w:sz w:val="22"/>
          <w:szCs w:val="22"/>
          <w:lang w:val="en-GB" w:eastAsia="fr-FR"/>
        </w:rPr>
        <w:t>Service Provider</w:t>
      </w:r>
      <w:r w:rsidR="00967ED4">
        <w:rPr>
          <w:rFonts w:asciiTheme="minorHAnsi" w:eastAsiaTheme="minorHAnsi" w:hAnsiTheme="minorHAnsi" w:cstheme="minorBidi"/>
          <w:color w:val="auto"/>
          <w:sz w:val="22"/>
          <w:szCs w:val="22"/>
          <w:lang w:val="en-GB" w:eastAsia="fr-FR"/>
        </w:rPr>
        <w:t xml:space="preserve"> </w:t>
      </w:r>
      <w:r w:rsidRPr="00E908C3">
        <w:rPr>
          <w:rFonts w:asciiTheme="minorHAnsi" w:eastAsiaTheme="minorHAnsi" w:hAnsiTheme="minorHAnsi" w:cstheme="minorBidi"/>
          <w:color w:val="auto"/>
          <w:sz w:val="22"/>
          <w:szCs w:val="22"/>
          <w:lang w:val="en-GB" w:eastAsia="fr-FR"/>
        </w:rPr>
        <w:t xml:space="preserve">by the operator Identity Gateway (IDGW) after a successful end-user's authentication and is contained in the ID Token returned in the Open ID Connect response. </w:t>
      </w:r>
      <w:r w:rsidR="005C08CD">
        <w:rPr>
          <w:rFonts w:asciiTheme="minorHAnsi" w:eastAsiaTheme="minorHAnsi" w:hAnsiTheme="minorHAnsi" w:cstheme="minorBidi"/>
          <w:color w:val="auto"/>
          <w:sz w:val="22"/>
          <w:szCs w:val="22"/>
          <w:lang w:val="en-GB" w:eastAsia="fr-FR"/>
        </w:rPr>
        <w:t xml:space="preserve">This is the </w:t>
      </w:r>
      <w:r w:rsidR="00F51856">
        <w:rPr>
          <w:rFonts w:asciiTheme="minorHAnsi" w:eastAsiaTheme="minorHAnsi" w:hAnsiTheme="minorHAnsi" w:cstheme="minorBidi"/>
          <w:color w:val="auto"/>
          <w:sz w:val="22"/>
          <w:szCs w:val="22"/>
          <w:lang w:val="en-GB" w:eastAsia="fr-FR"/>
        </w:rPr>
        <w:t>field</w:t>
      </w:r>
      <w:r w:rsidR="005C08CD">
        <w:rPr>
          <w:rFonts w:asciiTheme="minorHAnsi" w:eastAsiaTheme="minorHAnsi" w:hAnsiTheme="minorHAnsi" w:cstheme="minorBidi"/>
          <w:color w:val="auto"/>
          <w:sz w:val="22"/>
          <w:szCs w:val="22"/>
          <w:lang w:val="en-GB" w:eastAsia="fr-FR"/>
        </w:rPr>
        <w:t xml:space="preserve"> “sub” (</w:t>
      </w:r>
      <w:proofErr w:type="spellStart"/>
      <w:r w:rsidR="005C08CD">
        <w:rPr>
          <w:rFonts w:asciiTheme="minorHAnsi" w:eastAsiaTheme="minorHAnsi" w:hAnsiTheme="minorHAnsi" w:cstheme="minorBidi"/>
          <w:color w:val="auto"/>
          <w:sz w:val="22"/>
          <w:szCs w:val="22"/>
          <w:lang w:val="en-GB" w:eastAsia="fr-FR"/>
        </w:rPr>
        <w:t>subject_id</w:t>
      </w:r>
      <w:proofErr w:type="spellEnd"/>
      <w:r w:rsidR="005C08CD">
        <w:rPr>
          <w:rFonts w:asciiTheme="minorHAnsi" w:eastAsiaTheme="minorHAnsi" w:hAnsiTheme="minorHAnsi" w:cstheme="minorBidi"/>
          <w:color w:val="auto"/>
          <w:sz w:val="22"/>
          <w:szCs w:val="22"/>
          <w:lang w:val="en-GB" w:eastAsia="fr-FR"/>
        </w:rPr>
        <w:t>).</w:t>
      </w:r>
    </w:p>
    <w:p w14:paraId="6599137A" w14:textId="77777777" w:rsidR="00E908C3" w:rsidRDefault="008D7596" w:rsidP="00B4244D">
      <w:pPr>
        <w:pStyle w:val="Titre1"/>
        <w:jc w:val="center"/>
        <w:rPr>
          <w:rFonts w:asciiTheme="minorHAnsi" w:eastAsiaTheme="minorHAnsi" w:hAnsiTheme="minorHAnsi" w:cstheme="minorBidi"/>
          <w:color w:val="auto"/>
          <w:sz w:val="22"/>
          <w:szCs w:val="22"/>
          <w:lang w:val="en-GB" w:eastAsia="fr-FR"/>
        </w:rPr>
      </w:pPr>
      <w:r>
        <w:rPr>
          <w:noProof/>
          <w:lang w:eastAsia="fr-FR"/>
        </w:rPr>
        <w:drawing>
          <wp:inline distT="0" distB="0" distL="0" distR="0" wp14:anchorId="6F4D2099" wp14:editId="7CE88936">
            <wp:extent cx="3705367" cy="2086311"/>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712238" cy="2090180"/>
                    </a:xfrm>
                    <a:prstGeom prst="rect">
                      <a:avLst/>
                    </a:prstGeom>
                  </pic:spPr>
                </pic:pic>
              </a:graphicData>
            </a:graphic>
          </wp:inline>
        </w:drawing>
      </w:r>
    </w:p>
    <w:p w14:paraId="3C8D1CA4" w14:textId="77777777" w:rsidR="001652F9" w:rsidRPr="00E908C3" w:rsidRDefault="001652F9" w:rsidP="00E908C3">
      <w:pPr>
        <w:pStyle w:val="Titre1"/>
        <w:rPr>
          <w:lang w:val="en-GB"/>
        </w:rPr>
      </w:pPr>
      <w:r w:rsidRPr="00E908C3">
        <w:rPr>
          <w:lang w:val="en-GB"/>
        </w:rPr>
        <w:t>Why use the PCR?</w:t>
      </w:r>
    </w:p>
    <w:p w14:paraId="0C9099F2" w14:textId="6E9F87A3" w:rsidR="00E908C3" w:rsidRPr="00E908C3" w:rsidRDefault="00E908C3" w:rsidP="00E908C3">
      <w:pPr>
        <w:rPr>
          <w:lang w:val="en-GB" w:eastAsia="fr-FR"/>
        </w:rPr>
      </w:pPr>
      <w:r w:rsidRPr="00E908C3">
        <w:rPr>
          <w:lang w:val="en-GB" w:eastAsia="fr-FR"/>
        </w:rPr>
        <w:t xml:space="preserve">By using the PCR, there is no requirement to provide personal data about the user for access to </w:t>
      </w:r>
      <w:proofErr w:type="gramStart"/>
      <w:r w:rsidRPr="00E908C3">
        <w:rPr>
          <w:lang w:val="en-GB" w:eastAsia="fr-FR"/>
        </w:rPr>
        <w:t>an</w:t>
      </w:r>
      <w:proofErr w:type="gramEnd"/>
      <w:r w:rsidRPr="00E908C3">
        <w:rPr>
          <w:lang w:val="en-GB" w:eastAsia="fr-FR"/>
        </w:rPr>
        <w:t xml:space="preserve"> </w:t>
      </w:r>
      <w:r w:rsidR="00300763">
        <w:rPr>
          <w:lang w:val="en-GB" w:eastAsia="fr-FR"/>
        </w:rPr>
        <w:t>Service Provider</w:t>
      </w:r>
      <w:r w:rsidRPr="00E908C3">
        <w:rPr>
          <w:lang w:val="en-GB" w:eastAsia="fr-FR"/>
        </w:rPr>
        <w:t xml:space="preserve">. The </w:t>
      </w:r>
      <w:r w:rsidR="00300763">
        <w:rPr>
          <w:lang w:val="en-GB" w:eastAsia="fr-FR"/>
        </w:rPr>
        <w:t>Service Provider</w:t>
      </w:r>
      <w:r w:rsidRPr="00E908C3">
        <w:rPr>
          <w:lang w:val="en-GB" w:eastAsia="fr-FR"/>
        </w:rPr>
        <w:t xml:space="preserve"> is assured that an actual user has authenticated using Mobile Connect and applications can then request additional information about users with their permission. This allows users to be confident their personal information will only be shared with the applications they choose with their explicit consent.</w:t>
      </w:r>
    </w:p>
    <w:p w14:paraId="226E8EA4" w14:textId="7923721F" w:rsidR="00B4244D" w:rsidRDefault="00E908C3" w:rsidP="00E908C3">
      <w:pPr>
        <w:rPr>
          <w:lang w:val="en-GB" w:eastAsia="fr-FR"/>
        </w:rPr>
      </w:pPr>
      <w:r w:rsidRPr="00E908C3">
        <w:rPr>
          <w:lang w:val="en-GB" w:eastAsia="fr-FR"/>
        </w:rPr>
        <w:t xml:space="preserve">The </w:t>
      </w:r>
      <w:r w:rsidR="00300763">
        <w:rPr>
          <w:lang w:val="en-GB" w:eastAsia="fr-FR"/>
        </w:rPr>
        <w:t>Service Provider</w:t>
      </w:r>
      <w:r w:rsidRPr="00E908C3">
        <w:rPr>
          <w:lang w:val="en-GB" w:eastAsia="fr-FR"/>
        </w:rPr>
        <w:t xml:space="preserve"> stores </w:t>
      </w:r>
      <w:r w:rsidR="00B574A3">
        <w:rPr>
          <w:lang w:val="en-GB" w:eastAsia="fr-FR"/>
        </w:rPr>
        <w:t xml:space="preserve">the PCR got from a specific operator </w:t>
      </w:r>
      <w:r w:rsidRPr="00E908C3">
        <w:rPr>
          <w:lang w:val="en-GB" w:eastAsia="fr-FR"/>
        </w:rPr>
        <w:t xml:space="preserve">against the user account in their </w:t>
      </w:r>
      <w:r w:rsidR="00B574A3">
        <w:rPr>
          <w:lang w:val="en-GB" w:eastAsia="fr-FR"/>
        </w:rPr>
        <w:t xml:space="preserve">federation </w:t>
      </w:r>
      <w:r w:rsidRPr="00E908C3">
        <w:rPr>
          <w:lang w:val="en-GB" w:eastAsia="fr-FR"/>
        </w:rPr>
        <w:t>database.</w:t>
      </w:r>
      <w:r w:rsidR="00B574A3">
        <w:rPr>
          <w:lang w:val="en-GB" w:eastAsia="fr-FR"/>
        </w:rPr>
        <w:t xml:space="preserve"> </w:t>
      </w:r>
    </w:p>
    <w:p w14:paraId="0662E620" w14:textId="62DF0A82" w:rsidR="001652F9" w:rsidRPr="00E908C3" w:rsidRDefault="00B574A3" w:rsidP="00E908C3">
      <w:pPr>
        <w:rPr>
          <w:lang w:val="en-GB" w:eastAsia="fr-FR"/>
        </w:rPr>
      </w:pPr>
      <w:r>
        <w:rPr>
          <w:lang w:val="en-GB" w:eastAsia="fr-FR"/>
        </w:rPr>
        <w:t xml:space="preserve">Note that end user could have 2 </w:t>
      </w:r>
      <w:r w:rsidR="00B4244D">
        <w:rPr>
          <w:lang w:val="en-GB" w:eastAsia="fr-FR"/>
        </w:rPr>
        <w:t>MSISDN</w:t>
      </w:r>
      <w:r w:rsidR="002C6BE7">
        <w:rPr>
          <w:lang w:val="en-GB" w:eastAsia="fr-FR"/>
        </w:rPr>
        <w:t>s</w:t>
      </w:r>
      <w:r w:rsidR="00B4244D">
        <w:rPr>
          <w:lang w:val="en-GB" w:eastAsia="fr-FR"/>
        </w:rPr>
        <w:t>, each</w:t>
      </w:r>
      <w:r>
        <w:rPr>
          <w:lang w:val="en-GB" w:eastAsia="fr-FR"/>
        </w:rPr>
        <w:t xml:space="preserve"> from </w:t>
      </w:r>
      <w:r w:rsidR="00B4244D">
        <w:rPr>
          <w:lang w:val="en-GB" w:eastAsia="fr-FR"/>
        </w:rPr>
        <w:t>different operator,</w:t>
      </w:r>
      <w:r>
        <w:rPr>
          <w:lang w:val="en-GB" w:eastAsia="fr-FR"/>
        </w:rPr>
        <w:t xml:space="preserve"> leading to the storage of 2 PCRs.</w:t>
      </w:r>
    </w:p>
    <w:p w14:paraId="1B23041D" w14:textId="77777777" w:rsidR="001652F9" w:rsidRDefault="00B03F57" w:rsidP="00B03F57">
      <w:pPr>
        <w:jc w:val="center"/>
        <w:rPr>
          <w:lang w:val="en-GB" w:eastAsia="fr-FR"/>
        </w:rPr>
      </w:pPr>
      <w:r>
        <w:rPr>
          <w:noProof/>
          <w:lang w:eastAsia="fr-FR"/>
        </w:rPr>
        <w:drawing>
          <wp:inline distT="0" distB="0" distL="0" distR="0" wp14:anchorId="7FE4D1BA" wp14:editId="084EC92E">
            <wp:extent cx="2797791" cy="1550628"/>
            <wp:effectExtent l="0" t="0" r="3175"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802715" cy="1553357"/>
                    </a:xfrm>
                    <a:prstGeom prst="rect">
                      <a:avLst/>
                    </a:prstGeom>
                  </pic:spPr>
                </pic:pic>
              </a:graphicData>
            </a:graphic>
          </wp:inline>
        </w:drawing>
      </w:r>
    </w:p>
    <w:p w14:paraId="29617FA3" w14:textId="77777777" w:rsidR="00343C13" w:rsidRPr="00E908C3" w:rsidRDefault="00343C13" w:rsidP="00343C13">
      <w:pPr>
        <w:pStyle w:val="Titre1"/>
        <w:rPr>
          <w:lang w:val="en-GB"/>
        </w:rPr>
      </w:pPr>
      <w:r>
        <w:rPr>
          <w:lang w:val="en-GB"/>
        </w:rPr>
        <w:t>PCR lifecycle</w:t>
      </w:r>
    </w:p>
    <w:p w14:paraId="1C6A6569" w14:textId="77777777" w:rsidR="00B109CC" w:rsidRDefault="00B109CC" w:rsidP="00397270">
      <w:pPr>
        <w:rPr>
          <w:lang w:val="en-GB" w:eastAsia="fr-FR"/>
        </w:rPr>
      </w:pPr>
      <w:r>
        <w:rPr>
          <w:lang w:val="en-GB" w:eastAsia="fr-FR"/>
        </w:rPr>
        <w:t xml:space="preserve">PCR is generated by the operator at the first authentication of the end user requested by the SP. </w:t>
      </w:r>
    </w:p>
    <w:p w14:paraId="38C134C7" w14:textId="5FDDFD7B" w:rsidR="00397270" w:rsidRDefault="005F14CD" w:rsidP="00397270">
      <w:pPr>
        <w:rPr>
          <w:lang w:val="en-GB" w:eastAsia="fr-FR"/>
        </w:rPr>
      </w:pPr>
      <w:r>
        <w:rPr>
          <w:lang w:val="en-GB" w:eastAsia="fr-FR"/>
        </w:rPr>
        <w:t xml:space="preserve">As defined, PCR is linked with operator, end user and </w:t>
      </w:r>
      <w:r w:rsidR="00300763">
        <w:rPr>
          <w:lang w:val="en-GB" w:eastAsia="fr-FR"/>
        </w:rPr>
        <w:t>Service Provider</w:t>
      </w:r>
      <w:r>
        <w:rPr>
          <w:lang w:val="en-GB" w:eastAsia="fr-FR"/>
        </w:rPr>
        <w:t>. It means that PCR</w:t>
      </w:r>
      <w:r w:rsidR="00B574A3">
        <w:rPr>
          <w:lang w:val="en-GB" w:eastAsia="fr-FR"/>
        </w:rPr>
        <w:t xml:space="preserve"> lifecycle</w:t>
      </w:r>
      <w:r>
        <w:rPr>
          <w:lang w:val="en-GB" w:eastAsia="fr-FR"/>
        </w:rPr>
        <w:t xml:space="preserve"> </w:t>
      </w:r>
      <w:r w:rsidR="0093454A">
        <w:rPr>
          <w:lang w:val="en-GB"/>
        </w:rPr>
        <w:t>is</w:t>
      </w:r>
      <w:r w:rsidR="0093454A" w:rsidRPr="002B7C86">
        <w:rPr>
          <w:lang w:val="en-GB"/>
        </w:rPr>
        <w:t xml:space="preserve"> not directly correlated with MSISDN lifecycle</w:t>
      </w:r>
      <w:r>
        <w:rPr>
          <w:lang w:val="en-GB" w:eastAsia="fr-FR"/>
        </w:rPr>
        <w:t>.</w:t>
      </w:r>
      <w:r w:rsidR="00397270">
        <w:rPr>
          <w:lang w:val="en-GB" w:eastAsia="fr-FR"/>
        </w:rPr>
        <w:t xml:space="preserve"> As a consequence: </w:t>
      </w:r>
    </w:p>
    <w:p w14:paraId="671282A5" w14:textId="71676452" w:rsidR="005F14CD" w:rsidRDefault="00397270" w:rsidP="00397270">
      <w:pPr>
        <w:pStyle w:val="Paragraphedeliste"/>
        <w:numPr>
          <w:ilvl w:val="0"/>
          <w:numId w:val="1"/>
        </w:numPr>
        <w:rPr>
          <w:lang w:val="en-GB" w:eastAsia="fr-FR"/>
        </w:rPr>
      </w:pPr>
      <w:r>
        <w:rPr>
          <w:lang w:val="en-GB" w:eastAsia="fr-FR"/>
        </w:rPr>
        <w:t>I</w:t>
      </w:r>
      <w:r w:rsidR="005F14CD" w:rsidRPr="00397270">
        <w:rPr>
          <w:lang w:val="en-GB" w:eastAsia="fr-FR"/>
        </w:rPr>
        <w:t xml:space="preserve">f a user switches of MSISDN, the operator </w:t>
      </w:r>
      <w:r w:rsidR="0093454A">
        <w:rPr>
          <w:lang w:val="en-GB" w:eastAsia="fr-FR"/>
        </w:rPr>
        <w:t>may</w:t>
      </w:r>
      <w:r w:rsidR="0093454A" w:rsidRPr="00397270">
        <w:rPr>
          <w:lang w:val="en-GB" w:eastAsia="fr-FR"/>
        </w:rPr>
        <w:t xml:space="preserve"> </w:t>
      </w:r>
      <w:r w:rsidR="005F14CD" w:rsidRPr="00397270">
        <w:rPr>
          <w:lang w:val="en-GB" w:eastAsia="fr-FR"/>
        </w:rPr>
        <w:t>keep the same PCR towards the third party.</w:t>
      </w:r>
    </w:p>
    <w:p w14:paraId="4C2AD14D" w14:textId="08B39DCA" w:rsidR="00397270" w:rsidRDefault="00397270" w:rsidP="00397270">
      <w:pPr>
        <w:pStyle w:val="Paragraphedeliste"/>
        <w:numPr>
          <w:ilvl w:val="0"/>
          <w:numId w:val="1"/>
        </w:numPr>
        <w:rPr>
          <w:lang w:val="en-GB" w:eastAsia="fr-FR"/>
        </w:rPr>
      </w:pPr>
      <w:r>
        <w:rPr>
          <w:lang w:val="en-GB" w:eastAsia="fr-FR"/>
        </w:rPr>
        <w:t>If the MSISDN is not anymore allocated to the end user</w:t>
      </w:r>
      <w:r w:rsidR="006607FC">
        <w:rPr>
          <w:lang w:val="en-GB" w:eastAsia="fr-FR"/>
        </w:rPr>
        <w:t xml:space="preserve"> for any reason (end of contract, same contract owner but new end user</w:t>
      </w:r>
      <w:r w:rsidR="005B527E">
        <w:rPr>
          <w:lang w:val="en-GB" w:eastAsia="fr-FR"/>
        </w:rPr>
        <w:t>…</w:t>
      </w:r>
      <w:r w:rsidR="006607FC">
        <w:rPr>
          <w:lang w:val="en-GB" w:eastAsia="fr-FR"/>
        </w:rPr>
        <w:t>)</w:t>
      </w:r>
      <w:r>
        <w:rPr>
          <w:lang w:val="en-GB" w:eastAsia="fr-FR"/>
        </w:rPr>
        <w:t>, link</w:t>
      </w:r>
      <w:r w:rsidR="0075396A">
        <w:rPr>
          <w:lang w:val="en-GB" w:eastAsia="fr-FR"/>
        </w:rPr>
        <w:t xml:space="preserve"> between end user and MSISDN must be deleted</w:t>
      </w:r>
      <w:r w:rsidR="00B4244D">
        <w:rPr>
          <w:lang w:val="en-GB" w:eastAsia="fr-FR"/>
        </w:rPr>
        <w:t xml:space="preserve">. </w:t>
      </w:r>
      <w:r w:rsidR="007B5492">
        <w:rPr>
          <w:lang w:val="en-GB"/>
        </w:rPr>
        <w:t>At</w:t>
      </w:r>
      <w:r w:rsidR="0093454A" w:rsidRPr="002B7C86">
        <w:rPr>
          <w:lang w:val="en-GB"/>
        </w:rPr>
        <w:t xml:space="preserve"> </w:t>
      </w:r>
      <w:r w:rsidR="0093454A" w:rsidRPr="002B7C86">
        <w:rPr>
          <w:lang w:val="en-GB"/>
        </w:rPr>
        <w:lastRenderedPageBreak/>
        <w:t xml:space="preserve">the same time, the PCR may still exist and is still be attached to the end user. The PCR can be used later, for the same end user, </w:t>
      </w:r>
      <w:r w:rsidR="0093454A">
        <w:rPr>
          <w:lang w:val="en-GB"/>
        </w:rPr>
        <w:t>with a further MSISDN</w:t>
      </w:r>
      <w:r w:rsidR="0093454A" w:rsidRPr="002B7C86">
        <w:rPr>
          <w:lang w:val="en-GB"/>
        </w:rPr>
        <w:t xml:space="preserve"> or with others MSISDNs.</w:t>
      </w:r>
    </w:p>
    <w:p w14:paraId="41B94E9F" w14:textId="7D09EFF7" w:rsidR="00E50A08" w:rsidRDefault="00E50A08" w:rsidP="00B574A3">
      <w:pPr>
        <w:rPr>
          <w:lang w:val="en-GB" w:eastAsia="fr-FR"/>
        </w:rPr>
      </w:pPr>
      <w:r w:rsidRPr="00E50A08">
        <w:rPr>
          <w:lang w:val="en-GB" w:eastAsia="fr-FR"/>
        </w:rPr>
        <w:t>In Mobile Connect, there is an indirect link between PCR and MSISDN, as the authenticators used in the Mobile Connect ecosystem are based on the user’s MSISDN.</w:t>
      </w:r>
    </w:p>
    <w:p w14:paraId="6C8237C4" w14:textId="62523904" w:rsidR="00B574A3" w:rsidRPr="00B574A3" w:rsidRDefault="00F102B3" w:rsidP="00B574A3">
      <w:pPr>
        <w:rPr>
          <w:lang w:val="en-GB" w:eastAsia="fr-FR"/>
        </w:rPr>
      </w:pPr>
      <w:r>
        <w:rPr>
          <w:lang w:val="en-GB" w:eastAsia="fr-FR"/>
        </w:rPr>
        <w:t>Depending on operator’s policies, e</w:t>
      </w:r>
      <w:r w:rsidR="00B574A3">
        <w:rPr>
          <w:lang w:val="en-GB" w:eastAsia="fr-FR"/>
        </w:rPr>
        <w:t xml:space="preserve">nd user </w:t>
      </w:r>
      <w:r w:rsidR="00B4244D">
        <w:rPr>
          <w:lang w:val="en-GB" w:eastAsia="fr-FR"/>
        </w:rPr>
        <w:t>can</w:t>
      </w:r>
      <w:r w:rsidR="00B574A3">
        <w:rPr>
          <w:lang w:val="en-GB" w:eastAsia="fr-FR"/>
        </w:rPr>
        <w:t xml:space="preserve"> also request to </w:t>
      </w:r>
      <w:r w:rsidR="00B109CC">
        <w:rPr>
          <w:lang w:val="en-GB" w:eastAsia="fr-FR"/>
        </w:rPr>
        <w:t xml:space="preserve">renew or delete </w:t>
      </w:r>
      <w:r w:rsidR="00B574A3">
        <w:rPr>
          <w:lang w:val="en-GB" w:eastAsia="fr-FR"/>
        </w:rPr>
        <w:t xml:space="preserve">PCR to be used to a specific </w:t>
      </w:r>
      <w:r w:rsidR="00300763">
        <w:rPr>
          <w:lang w:val="en-GB" w:eastAsia="fr-FR"/>
        </w:rPr>
        <w:t>Service Provider</w:t>
      </w:r>
      <w:r w:rsidR="00B574A3">
        <w:rPr>
          <w:lang w:val="en-GB" w:eastAsia="fr-FR"/>
        </w:rPr>
        <w:t xml:space="preserve">. </w:t>
      </w:r>
    </w:p>
    <w:p w14:paraId="5AA23A09" w14:textId="77777777" w:rsidR="001652F9" w:rsidRPr="00B574A3" w:rsidRDefault="001652F9" w:rsidP="001652F9">
      <w:pPr>
        <w:pStyle w:val="Titre1"/>
        <w:rPr>
          <w:lang w:val="en-GB"/>
        </w:rPr>
      </w:pPr>
      <w:r w:rsidRPr="00B574A3">
        <w:rPr>
          <w:lang w:val="en-GB"/>
        </w:rPr>
        <w:t>Is the PCR secure?</w:t>
      </w:r>
    </w:p>
    <w:p w14:paraId="1C995166" w14:textId="3D4FCE3D" w:rsidR="00E908C3" w:rsidRPr="00B574A3" w:rsidRDefault="00E908C3" w:rsidP="00E908C3">
      <w:pPr>
        <w:rPr>
          <w:lang w:val="en-GB" w:eastAsia="fr-FR"/>
        </w:rPr>
      </w:pPr>
      <w:r w:rsidRPr="00B574A3">
        <w:rPr>
          <w:lang w:val="en-GB" w:eastAsia="fr-FR"/>
        </w:rPr>
        <w:t xml:space="preserve">The PCR is unique to each </w:t>
      </w:r>
      <w:r w:rsidR="00300763">
        <w:rPr>
          <w:lang w:val="en-GB" w:eastAsia="fr-FR"/>
        </w:rPr>
        <w:t>Service Provider</w:t>
      </w:r>
      <w:r w:rsidRPr="00B574A3">
        <w:rPr>
          <w:lang w:val="en-GB" w:eastAsia="fr-FR"/>
        </w:rPr>
        <w:t xml:space="preserve"> and user account combination</w:t>
      </w:r>
      <w:r w:rsidR="00B574A3">
        <w:rPr>
          <w:lang w:val="en-GB" w:eastAsia="fr-FR"/>
        </w:rPr>
        <w:t xml:space="preserve"> inside an operator perimeter</w:t>
      </w:r>
      <w:r w:rsidRPr="00B574A3">
        <w:rPr>
          <w:lang w:val="en-GB" w:eastAsia="fr-FR"/>
        </w:rPr>
        <w:t xml:space="preserve">. Other Mobile Connect enabled </w:t>
      </w:r>
      <w:r w:rsidR="00300763">
        <w:rPr>
          <w:lang w:val="en-GB" w:eastAsia="fr-FR"/>
        </w:rPr>
        <w:t>Service Provider</w:t>
      </w:r>
      <w:r w:rsidRPr="00B574A3">
        <w:rPr>
          <w:lang w:val="en-GB" w:eastAsia="fr-FR"/>
        </w:rPr>
        <w:t xml:space="preserve">s </w:t>
      </w:r>
      <w:r w:rsidR="0093454A">
        <w:rPr>
          <w:lang w:val="en-GB"/>
        </w:rPr>
        <w:t>w</w:t>
      </w:r>
      <w:r w:rsidR="0093454A" w:rsidRPr="002B7C86">
        <w:rPr>
          <w:lang w:val="en-GB"/>
        </w:rPr>
        <w:t xml:space="preserve">on’t be able to correlate PCRs in their database because they </w:t>
      </w:r>
      <w:r w:rsidR="00652ECE">
        <w:rPr>
          <w:lang w:val="en-GB"/>
        </w:rPr>
        <w:t xml:space="preserve">will </w:t>
      </w:r>
      <w:r w:rsidR="0093454A" w:rsidRPr="002B7C86">
        <w:rPr>
          <w:lang w:val="en-GB"/>
        </w:rPr>
        <w:t>receive different PCRs for the same end user (pairwise PCRs).</w:t>
      </w:r>
    </w:p>
    <w:p w14:paraId="20C863D4" w14:textId="39A7C3E4" w:rsidR="002572C7" w:rsidRDefault="00E908C3" w:rsidP="00F47158">
      <w:pPr>
        <w:rPr>
          <w:sz w:val="16"/>
          <w:lang w:val="en-GB" w:eastAsia="fr-FR"/>
        </w:rPr>
      </w:pPr>
      <w:r w:rsidRPr="00B574A3">
        <w:rPr>
          <w:lang w:val="en-GB" w:eastAsia="fr-FR"/>
        </w:rPr>
        <w:t>However, the operator IDGW will create the</w:t>
      </w:r>
      <w:r w:rsidR="00B574A3">
        <w:rPr>
          <w:lang w:val="en-GB" w:eastAsia="fr-FR"/>
        </w:rPr>
        <w:t xml:space="preserve"> same PCR for a given end-user</w:t>
      </w:r>
      <w:r w:rsidRPr="00B574A3">
        <w:rPr>
          <w:lang w:val="en-GB" w:eastAsia="fr-FR"/>
        </w:rPr>
        <w:t xml:space="preserve"> if the ’</w:t>
      </w:r>
      <w:proofErr w:type="spellStart"/>
      <w:r w:rsidRPr="00B574A3">
        <w:rPr>
          <w:lang w:val="en-GB" w:eastAsia="fr-FR"/>
        </w:rPr>
        <w:t>sector_identifier_uri</w:t>
      </w:r>
      <w:proofErr w:type="spellEnd"/>
      <w:r w:rsidRPr="00B574A3">
        <w:rPr>
          <w:lang w:val="en-GB" w:eastAsia="fr-FR"/>
        </w:rPr>
        <w:t>’</w:t>
      </w:r>
      <w:r w:rsidR="00B4244D">
        <w:rPr>
          <w:rStyle w:val="Appelnotedebasdep"/>
        </w:rPr>
        <w:footnoteReference w:id="1"/>
      </w:r>
      <w:r w:rsidRPr="00B574A3">
        <w:rPr>
          <w:lang w:val="en-GB" w:eastAsia="fr-FR"/>
        </w:rPr>
        <w:t xml:space="preserve"> parameter is the same for a group of applications/web services. More specifically, a single </w:t>
      </w:r>
      <w:r w:rsidR="00300763">
        <w:rPr>
          <w:lang w:val="en-GB" w:eastAsia="fr-FR"/>
        </w:rPr>
        <w:t>Service Provider</w:t>
      </w:r>
      <w:r w:rsidRPr="00B574A3">
        <w:rPr>
          <w:lang w:val="en-GB" w:eastAsia="fr-FR"/>
        </w:rPr>
        <w:t xml:space="preserve"> can have the same PCR for a user across all their own applications/web services.</w:t>
      </w:r>
      <w:bookmarkStart w:id="0" w:name="_GoBack"/>
      <w:r w:rsidR="00102D30">
        <w:rPr>
          <w:lang w:val="en-GB" w:eastAsia="fr-FR"/>
        </w:rPr>
        <w:t xml:space="preserve"> </w:t>
      </w:r>
      <w:bookmarkEnd w:id="0"/>
    </w:p>
    <w:p w14:paraId="1355E8BC" w14:textId="77777777" w:rsidR="002572C7" w:rsidRPr="00B4244D" w:rsidRDefault="002572C7" w:rsidP="00E908C3">
      <w:pPr>
        <w:rPr>
          <w:lang w:val="en-US"/>
        </w:rPr>
      </w:pPr>
    </w:p>
    <w:p w14:paraId="333151EE" w14:textId="77777777" w:rsidR="00B03F57" w:rsidRPr="00E908C3" w:rsidRDefault="00B03F57" w:rsidP="00B03F57">
      <w:pPr>
        <w:pStyle w:val="Titre1"/>
        <w:rPr>
          <w:lang w:val="en-GB"/>
        </w:rPr>
      </w:pPr>
      <w:r>
        <w:rPr>
          <w:lang w:val="en-GB"/>
        </w:rPr>
        <w:t>PCR concept extension</w:t>
      </w:r>
    </w:p>
    <w:p w14:paraId="0620D668" w14:textId="77777777" w:rsidR="00B03F57" w:rsidRDefault="00B03F57" w:rsidP="00B03F57">
      <w:pPr>
        <w:pStyle w:val="Titre4"/>
        <w:rPr>
          <w:lang w:val="en-GB"/>
        </w:rPr>
      </w:pPr>
      <w:r>
        <w:rPr>
          <w:lang w:val="en-GB"/>
        </w:rPr>
        <w:t>Multi MSISDN</w:t>
      </w:r>
    </w:p>
    <w:p w14:paraId="34CDF713" w14:textId="68ED946B" w:rsidR="00B03F57" w:rsidRDefault="00B03F57" w:rsidP="00B03F57">
      <w:pPr>
        <w:rPr>
          <w:lang w:val="en-GB" w:eastAsia="fr-FR"/>
        </w:rPr>
      </w:pPr>
      <w:r>
        <w:rPr>
          <w:lang w:val="en-GB" w:eastAsia="fr-FR"/>
        </w:rPr>
        <w:t>End user can have several MSISDN</w:t>
      </w:r>
      <w:r w:rsidR="006A7F51">
        <w:rPr>
          <w:lang w:val="en-GB" w:eastAsia="fr-FR"/>
        </w:rPr>
        <w:t>s</w:t>
      </w:r>
      <w:r>
        <w:rPr>
          <w:lang w:val="en-GB" w:eastAsia="fr-FR"/>
        </w:rPr>
        <w:t xml:space="preserve"> in the same operator and PCR delivered to the third party </w:t>
      </w:r>
      <w:r w:rsidR="00B109CC">
        <w:rPr>
          <w:lang w:val="en-GB" w:eastAsia="fr-FR"/>
        </w:rPr>
        <w:t>can</w:t>
      </w:r>
      <w:r>
        <w:rPr>
          <w:lang w:val="en-GB" w:eastAsia="fr-FR"/>
        </w:rPr>
        <w:t xml:space="preserve"> </w:t>
      </w:r>
      <w:r w:rsidR="001B6170">
        <w:rPr>
          <w:lang w:val="en-GB" w:eastAsia="fr-FR"/>
        </w:rPr>
        <w:t>be</w:t>
      </w:r>
      <w:r w:rsidR="00584813">
        <w:rPr>
          <w:lang w:val="en-GB" w:eastAsia="fr-FR"/>
        </w:rPr>
        <w:t xml:space="preserve"> </w:t>
      </w:r>
      <w:r>
        <w:rPr>
          <w:lang w:val="en-GB" w:eastAsia="fr-FR"/>
        </w:rPr>
        <w:t>the same</w:t>
      </w:r>
      <w:r w:rsidR="00B109CC">
        <w:rPr>
          <w:lang w:val="en-GB" w:eastAsia="fr-FR"/>
        </w:rPr>
        <w:t xml:space="preserve"> based on operator rules and/or end user choices</w:t>
      </w:r>
      <w:r>
        <w:rPr>
          <w:lang w:val="en-GB" w:eastAsia="fr-FR"/>
        </w:rPr>
        <w:t>, whatever the MSISDN used for authentication is.</w:t>
      </w:r>
    </w:p>
    <w:p w14:paraId="5C8C5C95" w14:textId="7D63AC40" w:rsidR="003040AA" w:rsidRDefault="003040AA" w:rsidP="00B03F57">
      <w:pPr>
        <w:rPr>
          <w:lang w:val="en-GB" w:eastAsia="fr-FR"/>
        </w:rPr>
      </w:pPr>
      <w:r>
        <w:rPr>
          <w:lang w:val="en-GB" w:eastAsia="fr-FR"/>
        </w:rPr>
        <w:t xml:space="preserve">As reminder, PCR is linked to the person. </w:t>
      </w:r>
      <w:r w:rsidR="00BE4B21">
        <w:rPr>
          <w:lang w:val="en-GB" w:eastAsia="fr-FR"/>
        </w:rPr>
        <w:t>It is not the case of the MSISDN</w:t>
      </w:r>
      <w:r w:rsidR="00A10ADB">
        <w:rPr>
          <w:lang w:val="en-GB" w:eastAsia="fr-FR"/>
        </w:rPr>
        <w:t xml:space="preserve"> </w:t>
      </w:r>
      <w:r w:rsidR="006A7F51">
        <w:rPr>
          <w:lang w:val="en-GB" w:eastAsia="fr-FR"/>
        </w:rPr>
        <w:t xml:space="preserve">which can be used or owned by </w:t>
      </w:r>
      <w:r w:rsidR="00A10ADB">
        <w:rPr>
          <w:lang w:val="en-GB" w:eastAsia="fr-FR"/>
        </w:rPr>
        <w:t>another</w:t>
      </w:r>
      <w:r w:rsidR="006A7F51">
        <w:rPr>
          <w:lang w:val="en-GB" w:eastAsia="fr-FR"/>
        </w:rPr>
        <w:t xml:space="preserve"> person</w:t>
      </w:r>
      <w:r w:rsidR="00BE4B21">
        <w:rPr>
          <w:lang w:val="en-GB" w:eastAsia="fr-FR"/>
        </w:rPr>
        <w:t xml:space="preserve">. </w:t>
      </w:r>
      <w:r>
        <w:rPr>
          <w:lang w:val="en-GB" w:eastAsia="fr-FR"/>
        </w:rPr>
        <w:t>MSISDN is linked to the authenticator enabling to authenticate the person.</w:t>
      </w:r>
    </w:p>
    <w:p w14:paraId="0FC8A150" w14:textId="77777777" w:rsidR="00B03F57" w:rsidRDefault="00B03F57" w:rsidP="00B03F57">
      <w:pPr>
        <w:jc w:val="center"/>
        <w:rPr>
          <w:lang w:val="en-GB" w:eastAsia="fr-FR"/>
        </w:rPr>
      </w:pPr>
      <w:r>
        <w:rPr>
          <w:noProof/>
          <w:lang w:eastAsia="fr-FR"/>
        </w:rPr>
        <w:drawing>
          <wp:inline distT="0" distB="0" distL="0" distR="0" wp14:anchorId="51889FE2" wp14:editId="016A8775">
            <wp:extent cx="3980715" cy="2255828"/>
            <wp:effectExtent l="0" t="0" r="127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987039" cy="2259411"/>
                    </a:xfrm>
                    <a:prstGeom prst="rect">
                      <a:avLst/>
                    </a:prstGeom>
                  </pic:spPr>
                </pic:pic>
              </a:graphicData>
            </a:graphic>
          </wp:inline>
        </w:drawing>
      </w:r>
    </w:p>
    <w:p w14:paraId="1EE14418" w14:textId="77777777" w:rsidR="00B03F57" w:rsidRDefault="00B03F57" w:rsidP="00B03F57">
      <w:pPr>
        <w:pStyle w:val="Titre4"/>
        <w:rPr>
          <w:lang w:val="en-GB"/>
        </w:rPr>
      </w:pPr>
      <w:r>
        <w:rPr>
          <w:lang w:val="en-GB"/>
        </w:rPr>
        <w:lastRenderedPageBreak/>
        <w:t>Multi PCR</w:t>
      </w:r>
    </w:p>
    <w:p w14:paraId="42FE11E1" w14:textId="48FB4241" w:rsidR="0027776A" w:rsidRDefault="00B03F57" w:rsidP="00B03F57">
      <w:pPr>
        <w:rPr>
          <w:lang w:val="en-GB" w:eastAsia="fr-FR"/>
        </w:rPr>
      </w:pPr>
      <w:r>
        <w:rPr>
          <w:lang w:val="en-GB"/>
        </w:rPr>
        <w:t xml:space="preserve">The basic concept of PCR is: 1 PCR for the tuple </w:t>
      </w:r>
      <w:r>
        <w:rPr>
          <w:lang w:val="en-GB" w:eastAsia="fr-FR"/>
        </w:rPr>
        <w:t xml:space="preserve">{specific operator, </w:t>
      </w:r>
      <w:r w:rsidRPr="00E908C3">
        <w:rPr>
          <w:lang w:val="en-GB" w:eastAsia="fr-FR"/>
        </w:rPr>
        <w:t>specific end-user</w:t>
      </w:r>
      <w:r>
        <w:rPr>
          <w:lang w:val="en-GB" w:eastAsia="fr-FR"/>
        </w:rPr>
        <w:t xml:space="preserve">, </w:t>
      </w:r>
      <w:r w:rsidR="00A10ADB" w:rsidRPr="00E908C3">
        <w:rPr>
          <w:lang w:val="en-GB" w:eastAsia="fr-FR"/>
        </w:rPr>
        <w:t>and specific</w:t>
      </w:r>
      <w:r w:rsidRPr="00E908C3">
        <w:rPr>
          <w:lang w:val="en-GB" w:eastAsia="fr-FR"/>
        </w:rPr>
        <w:t xml:space="preserve"> </w:t>
      </w:r>
      <w:r w:rsidR="00300763">
        <w:rPr>
          <w:lang w:val="en-GB" w:eastAsia="fr-FR"/>
        </w:rPr>
        <w:t>Service Provider</w:t>
      </w:r>
      <w:r>
        <w:rPr>
          <w:lang w:val="en-GB" w:eastAsia="fr-FR"/>
        </w:rPr>
        <w:t>}. It is however possible to extend this concept to propose more services to end users</w:t>
      </w:r>
      <w:r w:rsidR="0027776A">
        <w:rPr>
          <w:lang w:val="en-GB" w:eastAsia="fr-FR"/>
        </w:rPr>
        <w:t xml:space="preserve"> based on use cases</w:t>
      </w:r>
      <w:r>
        <w:rPr>
          <w:lang w:val="en-GB" w:eastAsia="fr-FR"/>
        </w:rPr>
        <w:t xml:space="preserve">. </w:t>
      </w:r>
    </w:p>
    <w:p w14:paraId="2800B151" w14:textId="5653B11B" w:rsidR="00B03F57" w:rsidRDefault="00B03F57" w:rsidP="00B03F57">
      <w:pPr>
        <w:rPr>
          <w:lang w:val="en-GB" w:eastAsia="fr-FR"/>
        </w:rPr>
      </w:pPr>
      <w:r>
        <w:rPr>
          <w:lang w:val="en-GB" w:eastAsia="fr-FR"/>
        </w:rPr>
        <w:t xml:space="preserve">As an example for an “ads” </w:t>
      </w:r>
      <w:r w:rsidR="00300763">
        <w:rPr>
          <w:lang w:val="en-GB" w:eastAsia="fr-FR"/>
        </w:rPr>
        <w:t>Service Provider</w:t>
      </w:r>
      <w:r>
        <w:rPr>
          <w:lang w:val="en-GB" w:eastAsia="fr-FR"/>
        </w:rPr>
        <w:t>, an end us</w:t>
      </w:r>
      <w:r w:rsidR="0027776A">
        <w:rPr>
          <w:lang w:val="en-GB" w:eastAsia="fr-FR"/>
        </w:rPr>
        <w:t>er could wish to use 2 accounts</w:t>
      </w:r>
      <w:r>
        <w:rPr>
          <w:lang w:val="en-GB" w:eastAsia="fr-FR"/>
        </w:rPr>
        <w:t>: “</w:t>
      </w:r>
      <w:r w:rsidR="0027776A">
        <w:rPr>
          <w:lang w:val="en-GB" w:eastAsia="fr-FR"/>
        </w:rPr>
        <w:t xml:space="preserve">fake </w:t>
      </w:r>
      <w:r>
        <w:rPr>
          <w:lang w:val="en-GB" w:eastAsia="fr-FR"/>
        </w:rPr>
        <w:t>one” to ask questions to seller and “</w:t>
      </w:r>
      <w:r w:rsidR="0027776A">
        <w:rPr>
          <w:lang w:val="en-GB" w:eastAsia="fr-FR"/>
        </w:rPr>
        <w:t xml:space="preserve">official </w:t>
      </w:r>
      <w:r>
        <w:rPr>
          <w:lang w:val="en-GB" w:eastAsia="fr-FR"/>
        </w:rPr>
        <w:t>one” to buy when decision is taken</w:t>
      </w:r>
      <w:r w:rsidR="00342041">
        <w:rPr>
          <w:lang w:val="en-GB" w:eastAsia="fr-FR"/>
        </w:rPr>
        <w:t xml:space="preserve">, this without enabling the </w:t>
      </w:r>
      <w:r w:rsidR="00300763">
        <w:rPr>
          <w:lang w:val="en-GB" w:eastAsia="fr-FR"/>
        </w:rPr>
        <w:t>Service Provider</w:t>
      </w:r>
      <w:r w:rsidR="00342041">
        <w:rPr>
          <w:lang w:val="en-GB" w:eastAsia="fr-FR"/>
        </w:rPr>
        <w:t xml:space="preserve"> to link both accounts</w:t>
      </w:r>
      <w:r>
        <w:rPr>
          <w:lang w:val="en-GB" w:eastAsia="fr-FR"/>
        </w:rPr>
        <w:t>.</w:t>
      </w:r>
      <w:r w:rsidR="0027776A">
        <w:rPr>
          <w:lang w:val="en-GB" w:eastAsia="fr-FR"/>
        </w:rPr>
        <w:t xml:space="preserve"> During authentication phase and based on which account the end user wants to use, it could be proposed to him to select which </w:t>
      </w:r>
      <w:r w:rsidR="00803303">
        <w:rPr>
          <w:lang w:val="en-GB" w:eastAsia="fr-FR"/>
        </w:rPr>
        <w:t>PCR</w:t>
      </w:r>
      <w:r w:rsidR="0027776A">
        <w:rPr>
          <w:lang w:val="en-GB" w:eastAsia="fr-FR"/>
        </w:rPr>
        <w:t xml:space="preserve"> (or </w:t>
      </w:r>
      <w:r w:rsidR="00803303">
        <w:rPr>
          <w:lang w:val="en-GB" w:eastAsia="fr-FR"/>
        </w:rPr>
        <w:t>alias in end user terminology</w:t>
      </w:r>
      <w:r w:rsidR="0027776A">
        <w:rPr>
          <w:lang w:val="en-GB" w:eastAsia="fr-FR"/>
        </w:rPr>
        <w:t>) he would like to use.</w:t>
      </w:r>
      <w:r w:rsidR="00803303">
        <w:rPr>
          <w:lang w:val="en-GB" w:eastAsia="fr-FR"/>
        </w:rPr>
        <w:t xml:space="preserve"> </w:t>
      </w:r>
    </w:p>
    <w:p w14:paraId="3D9F3C54" w14:textId="77777777" w:rsidR="0027776A" w:rsidRDefault="0027776A" w:rsidP="0027776A">
      <w:pPr>
        <w:jc w:val="center"/>
        <w:rPr>
          <w:lang w:val="en-GB"/>
        </w:rPr>
      </w:pPr>
      <w:r>
        <w:rPr>
          <w:noProof/>
          <w:lang w:eastAsia="fr-FR"/>
        </w:rPr>
        <w:drawing>
          <wp:inline distT="0" distB="0" distL="0" distR="0" wp14:anchorId="6EDB4B9F" wp14:editId="6DF114D6">
            <wp:extent cx="2793274" cy="2756326"/>
            <wp:effectExtent l="0" t="0" r="7620" b="635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799015" cy="2761991"/>
                    </a:xfrm>
                    <a:prstGeom prst="rect">
                      <a:avLst/>
                    </a:prstGeom>
                  </pic:spPr>
                </pic:pic>
              </a:graphicData>
            </a:graphic>
          </wp:inline>
        </w:drawing>
      </w:r>
    </w:p>
    <w:p w14:paraId="20DA3C6F" w14:textId="77777777" w:rsidR="00E908C3" w:rsidRPr="00B574A3" w:rsidRDefault="00803303" w:rsidP="00E908C3">
      <w:pPr>
        <w:rPr>
          <w:lang w:val="en-GB" w:eastAsia="fr-FR"/>
        </w:rPr>
      </w:pPr>
      <w:r>
        <w:rPr>
          <w:lang w:val="en-GB" w:eastAsia="fr-FR"/>
        </w:rPr>
        <w:t>Note that this PCR selection could be also based on MSISDN used to authenticate.</w:t>
      </w:r>
    </w:p>
    <w:sectPr w:rsidR="00E908C3" w:rsidRPr="00B574A3">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6145A7" w16cex:dateUtc="2020-11-19T18:27:00Z"/>
  <w16cex:commentExtensible w16cex:durableId="236145CB" w16cex:dateUtc="2020-11-19T18:28:00Z"/>
  <w16cex:commentExtensible w16cex:durableId="236145E1" w16cex:dateUtc="2020-11-19T18:28:00Z"/>
  <w16cex:commentExtensible w16cex:durableId="23614AF1" w16cex:dateUtc="2020-11-19T18:50:00Z"/>
  <w16cex:commentExtensible w16cex:durableId="23614F3D" w16cex:dateUtc="2020-11-19T19:08:00Z"/>
  <w16cex:commentExtensible w16cex:durableId="23614A41" w16cex:dateUtc="2020-11-19T18:4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0F9ED80" w16cid:durableId="236145A7"/>
  <w16cid:commentId w16cid:paraId="1F1A3C89" w16cid:durableId="236145CB"/>
  <w16cid:commentId w16cid:paraId="402866FF" w16cid:durableId="236145E1"/>
  <w16cid:commentId w16cid:paraId="50199791" w16cid:durableId="23614AF1"/>
  <w16cid:commentId w16cid:paraId="200485EB" w16cid:durableId="23614F3D"/>
  <w16cid:commentId w16cid:paraId="793B3952" w16cid:durableId="23614A4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0AD092" w14:textId="77777777" w:rsidR="001D3F84" w:rsidRDefault="001D3F84" w:rsidP="00B4244D">
      <w:pPr>
        <w:spacing w:after="0" w:line="240" w:lineRule="auto"/>
      </w:pPr>
      <w:r>
        <w:separator/>
      </w:r>
    </w:p>
  </w:endnote>
  <w:endnote w:type="continuationSeparator" w:id="0">
    <w:p w14:paraId="15B24B3A" w14:textId="77777777" w:rsidR="001D3F84" w:rsidRDefault="001D3F84" w:rsidP="00B424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8403D9" w14:textId="77777777" w:rsidR="001D3F84" w:rsidRDefault="001D3F84" w:rsidP="00B4244D">
      <w:pPr>
        <w:spacing w:after="0" w:line="240" w:lineRule="auto"/>
      </w:pPr>
      <w:r>
        <w:separator/>
      </w:r>
    </w:p>
  </w:footnote>
  <w:footnote w:type="continuationSeparator" w:id="0">
    <w:p w14:paraId="5A5B40A4" w14:textId="77777777" w:rsidR="001D3F84" w:rsidRDefault="001D3F84" w:rsidP="00B4244D">
      <w:pPr>
        <w:spacing w:after="0" w:line="240" w:lineRule="auto"/>
      </w:pPr>
      <w:r>
        <w:continuationSeparator/>
      </w:r>
    </w:p>
  </w:footnote>
  <w:footnote w:id="1">
    <w:p w14:paraId="4F1DAB29" w14:textId="6F847EA4" w:rsidR="00F47158" w:rsidRDefault="00B4244D" w:rsidP="00F47158">
      <w:pPr>
        <w:rPr>
          <w:sz w:val="16"/>
          <w:lang w:val="en-GB" w:eastAsia="fr-FR"/>
        </w:rPr>
      </w:pPr>
      <w:r w:rsidRPr="00B4244D">
        <w:rPr>
          <w:rStyle w:val="Appelnotedebasdep"/>
          <w:sz w:val="16"/>
        </w:rPr>
        <w:footnoteRef/>
      </w:r>
      <w:r w:rsidRPr="00B4244D">
        <w:rPr>
          <w:sz w:val="16"/>
          <w:lang w:val="en-GB" w:eastAsia="fr-FR"/>
        </w:rPr>
        <w:t xml:space="preserve"> </w:t>
      </w:r>
      <w:r w:rsidR="003547D5" w:rsidRPr="003547D5">
        <w:rPr>
          <w:sz w:val="16"/>
          <w:lang w:val="en-GB" w:eastAsia="fr-FR"/>
        </w:rPr>
        <w:t>'</w:t>
      </w:r>
      <w:proofErr w:type="spellStart"/>
      <w:r w:rsidR="003547D5" w:rsidRPr="003547D5">
        <w:rPr>
          <w:sz w:val="16"/>
          <w:lang w:val="en-GB" w:eastAsia="fr-FR"/>
        </w:rPr>
        <w:t>sector_identifier_uri</w:t>
      </w:r>
      <w:proofErr w:type="spellEnd"/>
      <w:r w:rsidR="003547D5" w:rsidRPr="003547D5">
        <w:rPr>
          <w:sz w:val="16"/>
          <w:lang w:val="en-GB" w:eastAsia="fr-FR"/>
        </w:rPr>
        <w:t xml:space="preserve">' is an optional parameter when </w:t>
      </w:r>
      <w:r w:rsidR="00102D30">
        <w:rPr>
          <w:sz w:val="16"/>
          <w:lang w:val="en-GB" w:eastAsia="fr-FR"/>
        </w:rPr>
        <w:t>Service Provider</w:t>
      </w:r>
      <w:r w:rsidR="003547D5" w:rsidRPr="003547D5">
        <w:rPr>
          <w:sz w:val="16"/>
          <w:lang w:val="en-GB" w:eastAsia="fr-FR"/>
        </w:rPr>
        <w:t xml:space="preserve"> is created in the Developer Portal and contains all the</w:t>
      </w:r>
      <w:r w:rsidR="00370CF1">
        <w:rPr>
          <w:sz w:val="16"/>
          <w:lang w:val="en-GB" w:eastAsia="fr-FR"/>
        </w:rPr>
        <w:t xml:space="preserve"> redirect</w:t>
      </w:r>
      <w:r w:rsidR="003547D5" w:rsidRPr="003547D5">
        <w:rPr>
          <w:sz w:val="16"/>
          <w:lang w:val="en-GB" w:eastAsia="fr-FR"/>
        </w:rPr>
        <w:t xml:space="preserve"> URLs prescribed by the </w:t>
      </w:r>
      <w:r w:rsidR="00300763">
        <w:rPr>
          <w:sz w:val="16"/>
          <w:lang w:val="en-GB" w:eastAsia="fr-FR"/>
        </w:rPr>
        <w:t>Service Provider</w:t>
      </w:r>
      <w:r w:rsidR="003547D5" w:rsidRPr="003547D5">
        <w:rPr>
          <w:sz w:val="16"/>
          <w:lang w:val="en-GB" w:eastAsia="fr-FR"/>
        </w:rPr>
        <w:t xml:space="preserve"> </w:t>
      </w:r>
      <w:r w:rsidR="00102D30">
        <w:rPr>
          <w:sz w:val="16"/>
          <w:lang w:val="en-GB" w:eastAsia="fr-FR"/>
        </w:rPr>
        <w:t>for its own</w:t>
      </w:r>
      <w:r w:rsidR="00102D30" w:rsidRPr="003547D5">
        <w:rPr>
          <w:sz w:val="16"/>
          <w:lang w:val="en-GB" w:eastAsia="fr-FR"/>
        </w:rPr>
        <w:t xml:space="preserve"> </w:t>
      </w:r>
      <w:r w:rsidR="003547D5" w:rsidRPr="003547D5">
        <w:rPr>
          <w:sz w:val="16"/>
          <w:lang w:val="en-GB" w:eastAsia="fr-FR"/>
        </w:rPr>
        <w:t>application/web service owner.</w:t>
      </w:r>
      <w:r w:rsidR="00370CF1">
        <w:rPr>
          <w:sz w:val="16"/>
          <w:lang w:val="en-GB" w:eastAsia="fr-FR"/>
        </w:rPr>
        <w:t xml:space="preserve"> </w:t>
      </w:r>
      <w:r w:rsidR="003547D5" w:rsidRPr="003547D5">
        <w:rPr>
          <w:sz w:val="16"/>
          <w:lang w:val="en-GB" w:eastAsia="fr-FR"/>
        </w:rPr>
        <w:t>‘</w:t>
      </w:r>
      <w:proofErr w:type="spellStart"/>
      <w:r w:rsidR="003547D5" w:rsidRPr="003547D5">
        <w:rPr>
          <w:sz w:val="16"/>
          <w:lang w:val="en-GB" w:eastAsia="fr-FR"/>
        </w:rPr>
        <w:t>sector_identifier_uri</w:t>
      </w:r>
      <w:proofErr w:type="spellEnd"/>
      <w:r w:rsidR="003547D5" w:rsidRPr="003547D5">
        <w:rPr>
          <w:sz w:val="16"/>
          <w:lang w:val="en-GB" w:eastAsia="fr-FR"/>
        </w:rPr>
        <w:t xml:space="preserve">’ is a mechanism allowing the Authorization Server to obtain the list of authorized </w:t>
      </w:r>
      <w:proofErr w:type="spellStart"/>
      <w:r w:rsidR="003547D5" w:rsidRPr="003547D5">
        <w:rPr>
          <w:sz w:val="16"/>
          <w:lang w:val="en-GB" w:eastAsia="fr-FR"/>
        </w:rPr>
        <w:t>redirect_uri</w:t>
      </w:r>
      <w:proofErr w:type="spellEnd"/>
      <w:r w:rsidR="003547D5" w:rsidRPr="003547D5">
        <w:rPr>
          <w:sz w:val="16"/>
          <w:lang w:val="en-GB" w:eastAsia="fr-FR"/>
        </w:rPr>
        <w:t xml:space="preserve">. It is aimed at ensuring all the responses from an IDGW are delivered to the correct </w:t>
      </w:r>
      <w:r w:rsidR="00300763">
        <w:rPr>
          <w:sz w:val="16"/>
          <w:lang w:val="en-GB" w:eastAsia="fr-FR"/>
        </w:rPr>
        <w:t>Service Provider</w:t>
      </w:r>
      <w:r w:rsidR="003547D5" w:rsidRPr="003547D5">
        <w:rPr>
          <w:sz w:val="16"/>
          <w:lang w:val="en-GB" w:eastAsia="fr-FR"/>
        </w:rPr>
        <w:t xml:space="preserve"> applications/web services.</w:t>
      </w:r>
    </w:p>
    <w:p w14:paraId="3E878669" w14:textId="712FDB5A" w:rsidR="00B4244D" w:rsidRPr="00F47158" w:rsidRDefault="003547D5" w:rsidP="00F47158">
      <w:pPr>
        <w:rPr>
          <w:sz w:val="16"/>
          <w:lang w:val="en-GB" w:eastAsia="fr-FR"/>
        </w:rPr>
      </w:pPr>
      <w:r w:rsidRPr="003547D5">
        <w:rPr>
          <w:sz w:val="16"/>
          <w:lang w:val="en-GB" w:eastAsia="fr-FR"/>
        </w:rPr>
        <w:t xml:space="preserve">Note that Hosts of </w:t>
      </w:r>
      <w:proofErr w:type="spellStart"/>
      <w:r w:rsidRPr="003547D5">
        <w:rPr>
          <w:sz w:val="16"/>
          <w:lang w:val="en-GB" w:eastAsia="fr-FR"/>
        </w:rPr>
        <w:t>redirect_uri</w:t>
      </w:r>
      <w:proofErr w:type="spellEnd"/>
      <w:r w:rsidRPr="003547D5">
        <w:rPr>
          <w:sz w:val="16"/>
          <w:lang w:val="en-GB" w:eastAsia="fr-FR"/>
        </w:rPr>
        <w:t xml:space="preserve"> </w:t>
      </w:r>
      <w:r w:rsidR="00370CF1">
        <w:rPr>
          <w:sz w:val="16"/>
          <w:lang w:val="en-GB" w:eastAsia="fr-FR"/>
        </w:rPr>
        <w:t>“</w:t>
      </w:r>
      <w:r w:rsidR="00223D20">
        <w:rPr>
          <w:sz w:val="16"/>
          <w:lang w:val="en-GB" w:eastAsia="fr-FR"/>
        </w:rPr>
        <w:t xml:space="preserve">exclusive </w:t>
      </w:r>
      <w:r w:rsidRPr="003547D5">
        <w:rPr>
          <w:sz w:val="16"/>
          <w:lang w:val="en-GB" w:eastAsia="fr-FR"/>
        </w:rPr>
        <w:t>or</w:t>
      </w:r>
      <w:r w:rsidR="00370CF1">
        <w:rPr>
          <w:sz w:val="16"/>
          <w:lang w:val="en-GB" w:eastAsia="fr-FR"/>
        </w:rPr>
        <w:t>”</w:t>
      </w:r>
      <w:r w:rsidRPr="003547D5">
        <w:rPr>
          <w:sz w:val="16"/>
          <w:lang w:val="en-GB" w:eastAsia="fr-FR"/>
        </w:rPr>
        <w:t xml:space="preserve"> </w:t>
      </w:r>
      <w:proofErr w:type="spellStart"/>
      <w:r w:rsidRPr="003547D5">
        <w:rPr>
          <w:sz w:val="16"/>
          <w:lang w:val="en-GB" w:eastAsia="fr-FR"/>
        </w:rPr>
        <w:t>sector_identifier_uri</w:t>
      </w:r>
      <w:proofErr w:type="spellEnd"/>
      <w:r w:rsidRPr="003547D5">
        <w:rPr>
          <w:sz w:val="16"/>
          <w:lang w:val="en-GB" w:eastAsia="fr-FR"/>
        </w:rPr>
        <w:t xml:space="preserve"> are used to determine which PCR will be served to the SP.</w:t>
      </w:r>
      <w:r w:rsidR="00223D20">
        <w:rPr>
          <w:sz w:val="16"/>
          <w:lang w:val="en-GB" w:eastAsia="fr-FR"/>
        </w:rPr>
        <w:t xml:space="preserve"> 2 Service providers could consequently share the same PCR for a given end user </w:t>
      </w:r>
      <w:r w:rsidR="00370CF1">
        <w:rPr>
          <w:sz w:val="16"/>
          <w:lang w:val="en-GB" w:eastAsia="fr-FR"/>
        </w:rPr>
        <w:t>if they share common hosts</w:t>
      </w:r>
      <w:r w:rsidR="00223D20">
        <w:rPr>
          <w:sz w:val="16"/>
          <w:lang w:val="en-GB" w:eastAsia="fr-FR"/>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415B46"/>
    <w:multiLevelType w:val="hybridMultilevel"/>
    <w:tmpl w:val="921E10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61F"/>
    <w:rsid w:val="00027ACD"/>
    <w:rsid w:val="000655AE"/>
    <w:rsid w:val="00067C1D"/>
    <w:rsid w:val="000906E0"/>
    <w:rsid w:val="0009328A"/>
    <w:rsid w:val="000A52FB"/>
    <w:rsid w:val="000D3276"/>
    <w:rsid w:val="000F1FF0"/>
    <w:rsid w:val="00102D30"/>
    <w:rsid w:val="001207FE"/>
    <w:rsid w:val="00130AF3"/>
    <w:rsid w:val="001652F9"/>
    <w:rsid w:val="00187BDD"/>
    <w:rsid w:val="00193E61"/>
    <w:rsid w:val="001B6170"/>
    <w:rsid w:val="001D2F55"/>
    <w:rsid w:val="001D3F84"/>
    <w:rsid w:val="0020024B"/>
    <w:rsid w:val="00223D20"/>
    <w:rsid w:val="00245629"/>
    <w:rsid w:val="002572C7"/>
    <w:rsid w:val="0027776A"/>
    <w:rsid w:val="00286B6A"/>
    <w:rsid w:val="00290430"/>
    <w:rsid w:val="002A1689"/>
    <w:rsid w:val="002B29DA"/>
    <w:rsid w:val="002B7C86"/>
    <w:rsid w:val="002C1330"/>
    <w:rsid w:val="002C6BE7"/>
    <w:rsid w:val="002D27CF"/>
    <w:rsid w:val="003004D4"/>
    <w:rsid w:val="00300763"/>
    <w:rsid w:val="003040AA"/>
    <w:rsid w:val="003272E4"/>
    <w:rsid w:val="00342041"/>
    <w:rsid w:val="00343C13"/>
    <w:rsid w:val="003547D5"/>
    <w:rsid w:val="00370CF1"/>
    <w:rsid w:val="00370D82"/>
    <w:rsid w:val="0039409F"/>
    <w:rsid w:val="00397270"/>
    <w:rsid w:val="003C1AAE"/>
    <w:rsid w:val="003F261F"/>
    <w:rsid w:val="00405B9A"/>
    <w:rsid w:val="00421C5E"/>
    <w:rsid w:val="004A26B9"/>
    <w:rsid w:val="0053668C"/>
    <w:rsid w:val="005823A3"/>
    <w:rsid w:val="00584813"/>
    <w:rsid w:val="005B35A4"/>
    <w:rsid w:val="005B527E"/>
    <w:rsid w:val="005C08CD"/>
    <w:rsid w:val="005F14CD"/>
    <w:rsid w:val="00652ECE"/>
    <w:rsid w:val="006607FC"/>
    <w:rsid w:val="006911D9"/>
    <w:rsid w:val="006A7F51"/>
    <w:rsid w:val="006C0D2F"/>
    <w:rsid w:val="006D2A92"/>
    <w:rsid w:val="00701279"/>
    <w:rsid w:val="0072376A"/>
    <w:rsid w:val="00732CE5"/>
    <w:rsid w:val="0075396A"/>
    <w:rsid w:val="00757F29"/>
    <w:rsid w:val="007B5324"/>
    <w:rsid w:val="007B5492"/>
    <w:rsid w:val="007B778A"/>
    <w:rsid w:val="007C34C3"/>
    <w:rsid w:val="007D4EED"/>
    <w:rsid w:val="007E300C"/>
    <w:rsid w:val="00803303"/>
    <w:rsid w:val="008D7596"/>
    <w:rsid w:val="0093454A"/>
    <w:rsid w:val="009350DF"/>
    <w:rsid w:val="00967ED4"/>
    <w:rsid w:val="00970485"/>
    <w:rsid w:val="009B1457"/>
    <w:rsid w:val="009C288C"/>
    <w:rsid w:val="00A10ADB"/>
    <w:rsid w:val="00B03F57"/>
    <w:rsid w:val="00B109CC"/>
    <w:rsid w:val="00B17018"/>
    <w:rsid w:val="00B4244D"/>
    <w:rsid w:val="00B42FDD"/>
    <w:rsid w:val="00B574A3"/>
    <w:rsid w:val="00BD596A"/>
    <w:rsid w:val="00BE4B21"/>
    <w:rsid w:val="00C63503"/>
    <w:rsid w:val="00C70C5C"/>
    <w:rsid w:val="00CF5D30"/>
    <w:rsid w:val="00D22C04"/>
    <w:rsid w:val="00D51F60"/>
    <w:rsid w:val="00D677D7"/>
    <w:rsid w:val="00D95C9C"/>
    <w:rsid w:val="00DC1E6F"/>
    <w:rsid w:val="00DD3C80"/>
    <w:rsid w:val="00E05B25"/>
    <w:rsid w:val="00E50A08"/>
    <w:rsid w:val="00E5361D"/>
    <w:rsid w:val="00E908C3"/>
    <w:rsid w:val="00E93BFA"/>
    <w:rsid w:val="00EB0596"/>
    <w:rsid w:val="00F102B3"/>
    <w:rsid w:val="00F47158"/>
    <w:rsid w:val="00F51856"/>
    <w:rsid w:val="00F746C2"/>
    <w:rsid w:val="00F84B33"/>
    <w:rsid w:val="00FD3E6B"/>
    <w:rsid w:val="00FE5EC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50B97F"/>
  <w15:docId w15:val="{176405A4-8657-4CAD-A052-25F4E8EC1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1652F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link w:val="Titre2Car"/>
    <w:uiPriority w:val="9"/>
    <w:qFormat/>
    <w:rsid w:val="003F261F"/>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next w:val="Normal"/>
    <w:link w:val="Titre3Car"/>
    <w:uiPriority w:val="9"/>
    <w:unhideWhenUsed/>
    <w:qFormat/>
    <w:rsid w:val="00B574A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iPriority w:val="9"/>
    <w:unhideWhenUsed/>
    <w:qFormat/>
    <w:rsid w:val="00B574A3"/>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3F261F"/>
    <w:rPr>
      <w:rFonts w:ascii="Times New Roman" w:eastAsia="Times New Roman" w:hAnsi="Times New Roman" w:cs="Times New Roman"/>
      <w:b/>
      <w:bCs/>
      <w:sz w:val="36"/>
      <w:szCs w:val="36"/>
      <w:lang w:eastAsia="fr-FR"/>
    </w:rPr>
  </w:style>
  <w:style w:type="character" w:customStyle="1" w:styleId="Titre1Car">
    <w:name w:val="Titre 1 Car"/>
    <w:basedOn w:val="Policepardfaut"/>
    <w:link w:val="Titre1"/>
    <w:uiPriority w:val="9"/>
    <w:rsid w:val="001652F9"/>
    <w:rPr>
      <w:rFonts w:asciiTheme="majorHAnsi" w:eastAsiaTheme="majorEastAsia" w:hAnsiTheme="majorHAnsi" w:cstheme="majorBidi"/>
      <w:color w:val="2E74B5" w:themeColor="accent1" w:themeShade="BF"/>
      <w:sz w:val="32"/>
      <w:szCs w:val="32"/>
    </w:rPr>
  </w:style>
  <w:style w:type="paragraph" w:styleId="Paragraphedeliste">
    <w:name w:val="List Paragraph"/>
    <w:basedOn w:val="Normal"/>
    <w:uiPriority w:val="34"/>
    <w:qFormat/>
    <w:rsid w:val="00397270"/>
    <w:pPr>
      <w:ind w:left="720"/>
      <w:contextualSpacing/>
    </w:pPr>
  </w:style>
  <w:style w:type="character" w:customStyle="1" w:styleId="Titre3Car">
    <w:name w:val="Titre 3 Car"/>
    <w:basedOn w:val="Policepardfaut"/>
    <w:link w:val="Titre3"/>
    <w:uiPriority w:val="9"/>
    <w:rsid w:val="00B574A3"/>
    <w:rPr>
      <w:rFonts w:asciiTheme="majorHAnsi" w:eastAsiaTheme="majorEastAsia" w:hAnsiTheme="majorHAnsi" w:cstheme="majorBidi"/>
      <w:color w:val="1F4D78" w:themeColor="accent1" w:themeShade="7F"/>
      <w:sz w:val="24"/>
      <w:szCs w:val="24"/>
    </w:rPr>
  </w:style>
  <w:style w:type="character" w:customStyle="1" w:styleId="Titre4Car">
    <w:name w:val="Titre 4 Car"/>
    <w:basedOn w:val="Policepardfaut"/>
    <w:link w:val="Titre4"/>
    <w:uiPriority w:val="9"/>
    <w:rsid w:val="00B574A3"/>
    <w:rPr>
      <w:rFonts w:asciiTheme="majorHAnsi" w:eastAsiaTheme="majorEastAsia" w:hAnsiTheme="majorHAnsi" w:cstheme="majorBidi"/>
      <w:i/>
      <w:iCs/>
      <w:color w:val="2E74B5" w:themeColor="accent1" w:themeShade="BF"/>
    </w:rPr>
  </w:style>
  <w:style w:type="paragraph" w:styleId="Notedebasdepage">
    <w:name w:val="footnote text"/>
    <w:basedOn w:val="Normal"/>
    <w:link w:val="NotedebasdepageCar"/>
    <w:uiPriority w:val="99"/>
    <w:semiHidden/>
    <w:unhideWhenUsed/>
    <w:rsid w:val="00B4244D"/>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B4244D"/>
    <w:rPr>
      <w:sz w:val="20"/>
      <w:szCs w:val="20"/>
    </w:rPr>
  </w:style>
  <w:style w:type="character" w:styleId="Appelnotedebasdep">
    <w:name w:val="footnote reference"/>
    <w:basedOn w:val="Policepardfaut"/>
    <w:uiPriority w:val="99"/>
    <w:semiHidden/>
    <w:unhideWhenUsed/>
    <w:rsid w:val="00B4244D"/>
    <w:rPr>
      <w:vertAlign w:val="superscript"/>
    </w:rPr>
  </w:style>
  <w:style w:type="paragraph" w:styleId="Textedebulles">
    <w:name w:val="Balloon Text"/>
    <w:basedOn w:val="Normal"/>
    <w:link w:val="TextedebullesCar"/>
    <w:uiPriority w:val="99"/>
    <w:semiHidden/>
    <w:unhideWhenUsed/>
    <w:rsid w:val="00193E6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93E61"/>
    <w:rPr>
      <w:rFonts w:ascii="Tahoma" w:hAnsi="Tahoma" w:cs="Tahoma"/>
      <w:sz w:val="16"/>
      <w:szCs w:val="16"/>
    </w:rPr>
  </w:style>
  <w:style w:type="character" w:styleId="Marquedecommentaire">
    <w:name w:val="annotation reference"/>
    <w:basedOn w:val="Policepardfaut"/>
    <w:uiPriority w:val="99"/>
    <w:semiHidden/>
    <w:unhideWhenUsed/>
    <w:rsid w:val="00193E61"/>
    <w:rPr>
      <w:sz w:val="16"/>
      <w:szCs w:val="16"/>
    </w:rPr>
  </w:style>
  <w:style w:type="paragraph" w:styleId="Commentaire">
    <w:name w:val="annotation text"/>
    <w:basedOn w:val="Normal"/>
    <w:link w:val="CommentaireCar"/>
    <w:uiPriority w:val="99"/>
    <w:unhideWhenUsed/>
    <w:rsid w:val="00193E61"/>
    <w:pPr>
      <w:spacing w:line="240" w:lineRule="auto"/>
    </w:pPr>
    <w:rPr>
      <w:sz w:val="20"/>
      <w:szCs w:val="20"/>
    </w:rPr>
  </w:style>
  <w:style w:type="character" w:customStyle="1" w:styleId="CommentaireCar">
    <w:name w:val="Commentaire Car"/>
    <w:basedOn w:val="Policepardfaut"/>
    <w:link w:val="Commentaire"/>
    <w:uiPriority w:val="99"/>
    <w:rsid w:val="00193E61"/>
    <w:rPr>
      <w:sz w:val="20"/>
      <w:szCs w:val="20"/>
    </w:rPr>
  </w:style>
  <w:style w:type="paragraph" w:styleId="Objetducommentaire">
    <w:name w:val="annotation subject"/>
    <w:basedOn w:val="Commentaire"/>
    <w:next w:val="Commentaire"/>
    <w:link w:val="ObjetducommentaireCar"/>
    <w:uiPriority w:val="99"/>
    <w:semiHidden/>
    <w:unhideWhenUsed/>
    <w:rsid w:val="00193E61"/>
    <w:rPr>
      <w:b/>
      <w:bCs/>
    </w:rPr>
  </w:style>
  <w:style w:type="character" w:customStyle="1" w:styleId="ObjetducommentaireCar">
    <w:name w:val="Objet du commentaire Car"/>
    <w:basedOn w:val="CommentaireCar"/>
    <w:link w:val="Objetducommentaire"/>
    <w:uiPriority w:val="99"/>
    <w:semiHidden/>
    <w:rsid w:val="00193E61"/>
    <w:rPr>
      <w:b/>
      <w:bCs/>
      <w:sz w:val="20"/>
      <w:szCs w:val="20"/>
    </w:rPr>
  </w:style>
  <w:style w:type="character" w:styleId="Lienhypertexte">
    <w:name w:val="Hyperlink"/>
    <w:basedOn w:val="Policepardfaut"/>
    <w:uiPriority w:val="99"/>
    <w:unhideWhenUsed/>
    <w:rsid w:val="00E05B25"/>
    <w:rPr>
      <w:color w:val="0563C1" w:themeColor="hyperlink"/>
      <w:u w:val="single"/>
    </w:rPr>
  </w:style>
  <w:style w:type="character" w:customStyle="1" w:styleId="UnresolvedMention">
    <w:name w:val="Unresolved Mention"/>
    <w:basedOn w:val="Policepardfaut"/>
    <w:uiPriority w:val="99"/>
    <w:semiHidden/>
    <w:unhideWhenUsed/>
    <w:rsid w:val="002C13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576600">
      <w:bodyDiv w:val="1"/>
      <w:marLeft w:val="0"/>
      <w:marRight w:val="0"/>
      <w:marTop w:val="0"/>
      <w:marBottom w:val="0"/>
      <w:divBdr>
        <w:top w:val="none" w:sz="0" w:space="0" w:color="auto"/>
        <w:left w:val="none" w:sz="0" w:space="0" w:color="auto"/>
        <w:bottom w:val="none" w:sz="0" w:space="0" w:color="auto"/>
        <w:right w:val="none" w:sz="0" w:space="0" w:color="auto"/>
      </w:divBdr>
    </w:div>
    <w:div w:id="581181864">
      <w:bodyDiv w:val="1"/>
      <w:marLeft w:val="0"/>
      <w:marRight w:val="0"/>
      <w:marTop w:val="0"/>
      <w:marBottom w:val="0"/>
      <w:divBdr>
        <w:top w:val="none" w:sz="0" w:space="0" w:color="auto"/>
        <w:left w:val="none" w:sz="0" w:space="0" w:color="auto"/>
        <w:bottom w:val="none" w:sz="0" w:space="0" w:color="auto"/>
        <w:right w:val="none" w:sz="0" w:space="0" w:color="auto"/>
      </w:divBdr>
    </w:div>
    <w:div w:id="981156522">
      <w:bodyDiv w:val="1"/>
      <w:marLeft w:val="0"/>
      <w:marRight w:val="0"/>
      <w:marTop w:val="0"/>
      <w:marBottom w:val="0"/>
      <w:divBdr>
        <w:top w:val="none" w:sz="0" w:space="0" w:color="auto"/>
        <w:left w:val="none" w:sz="0" w:space="0" w:color="auto"/>
        <w:bottom w:val="none" w:sz="0" w:space="0" w:color="auto"/>
        <w:right w:val="none" w:sz="0" w:space="0" w:color="auto"/>
      </w:divBdr>
    </w:div>
    <w:div w:id="1019552329">
      <w:bodyDiv w:val="1"/>
      <w:marLeft w:val="0"/>
      <w:marRight w:val="0"/>
      <w:marTop w:val="0"/>
      <w:marBottom w:val="0"/>
      <w:divBdr>
        <w:top w:val="none" w:sz="0" w:space="0" w:color="auto"/>
        <w:left w:val="none" w:sz="0" w:space="0" w:color="auto"/>
        <w:bottom w:val="none" w:sz="0" w:space="0" w:color="auto"/>
        <w:right w:val="none" w:sz="0" w:space="0" w:color="auto"/>
      </w:divBdr>
    </w:div>
    <w:div w:id="1181548774">
      <w:bodyDiv w:val="1"/>
      <w:marLeft w:val="0"/>
      <w:marRight w:val="0"/>
      <w:marTop w:val="0"/>
      <w:marBottom w:val="0"/>
      <w:divBdr>
        <w:top w:val="none" w:sz="0" w:space="0" w:color="auto"/>
        <w:left w:val="none" w:sz="0" w:space="0" w:color="auto"/>
        <w:bottom w:val="none" w:sz="0" w:space="0" w:color="auto"/>
        <w:right w:val="none" w:sz="0" w:space="0" w:color="auto"/>
      </w:divBdr>
    </w:div>
    <w:div w:id="1363358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penid.net/specs/openid-connect-core-1_0.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E7C58D-AF86-40F8-8E95-2C257E898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871</Words>
  <Characters>4796</Characters>
  <Application>Microsoft Office Word</Application>
  <DocSecurity>0</DocSecurity>
  <Lines>39</Lines>
  <Paragraphs>11</Paragraphs>
  <ScaleCrop>false</ScaleCrop>
  <HeadingPairs>
    <vt:vector size="4" baseType="variant">
      <vt:variant>
        <vt:lpstr>Titre</vt:lpstr>
      </vt:variant>
      <vt:variant>
        <vt:i4>1</vt:i4>
      </vt:variant>
      <vt:variant>
        <vt:lpstr>Título</vt:lpstr>
      </vt:variant>
      <vt:variant>
        <vt:i4>1</vt:i4>
      </vt:variant>
    </vt:vector>
  </HeadingPairs>
  <TitlesOfParts>
    <vt:vector size="2" baseType="lpstr">
      <vt:lpstr/>
      <vt:lpstr/>
    </vt:vector>
  </TitlesOfParts>
  <Company>Orange</Company>
  <LinksUpToDate>false</LinksUpToDate>
  <CharactersWithSpaces>5656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NAGLE Arnault TGI/OLS</dc:creator>
  <cp:keywords/>
  <dc:description/>
  <cp:lastModifiedBy>NAGLE Arnault TGI/OLS</cp:lastModifiedBy>
  <cp:revision>3</cp:revision>
  <dcterms:created xsi:type="dcterms:W3CDTF">2020-12-07T07:53:00Z</dcterms:created>
  <dcterms:modified xsi:type="dcterms:W3CDTF">2020-12-07T07:55:00Z</dcterms:modified>
</cp:coreProperties>
</file>